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Date of Report: October 27, 2026</w:t>
      </w:r>
    </w:p>
    <w:p>
      <w:pPr>
        <w:spacing w:after="0" w:line="20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Commission File Number: 001-36891</w:t>
      </w:r>
    </w:p>
    <w:p>
      <w:pPr>
        <w:spacing w:after="0" w:line="206"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Cellectis S.A.</w:t>
      </w:r>
    </w:p>
    <w:p>
      <w:pPr>
        <w:spacing w:after="0" w:line="18"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8, rue de la Croix Jarry</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75013 Paris, France</w:t>
      </w:r>
    </w:p>
    <w:p>
      <w:pPr>
        <w:jc w:val="center"/>
        <w:ind w:right="-179"/>
        <w:spacing w:after="0" w:line="230" w:lineRule="auto"/>
        <w:rPr>
          <w:sz w:val="20"/>
          <w:szCs w:val="20"/>
          <w:color w:val="auto"/>
        </w:rPr>
      </w:pPr>
      <w:r>
        <w:rPr>
          <w:rFonts w:ascii="Times New Roman" w:cs="Times New Roman" w:eastAsia="Times New Roman" w:hAnsi="Times New Roman"/>
          <w:sz w:val="22"/>
          <w:szCs w:val="22"/>
          <w:b w:val="1"/>
          <w:bCs w:val="1"/>
          <w:color w:val="auto"/>
        </w:rPr>
        <w:t>+33 1 81 69 16 00</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tab/>
        <w:t>Title</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Cellectis S.A.</w:t>
            </w:r>
          </w:p>
        </w:tc>
        <w:tc>
          <w:tcPr>
            <w:tcW w:w="180" w:type="dxa"/>
            <w:vAlign w:val="bottom"/>
          </w:tcPr>
          <w:p>
            <w:pPr>
              <w:spacing w:after="0"/>
              <w:rPr>
                <w:sz w:val="17"/>
                <w:szCs w:val="17"/>
                <w:color w:val="auto"/>
              </w:rPr>
            </w:pPr>
          </w:p>
        </w:tc>
      </w:tr>
      <w:tr>
        <w:trPr>
          <w:trHeight w:val="237"/>
        </w:trPr>
        <w:tc>
          <w:tcPr>
            <w:tcW w:w="7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 André Choulika</w:t>
            </w:r>
          </w:p>
        </w:tc>
      </w:tr>
      <w:tr>
        <w:trPr>
          <w:trHeight w:val="218"/>
        </w:trPr>
        <w:tc>
          <w:tcPr>
            <w:tcW w:w="7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André Choulika</w:t>
            </w:r>
          </w:p>
        </w:tc>
      </w:tr>
      <w:tr>
        <w:trPr>
          <w:trHeight w:val="234"/>
        </w:trPr>
        <w:tc>
          <w:tcPr>
            <w:tcW w:w="7740" w:type="dxa"/>
            <w:vAlign w:val="bottom"/>
          </w:tcPr>
          <w:p>
            <w:pPr>
              <w:spacing w:after="0"/>
              <w:rPr>
                <w:sz w:val="20"/>
                <w:szCs w:val="20"/>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Cellectis Presents Preclinical Data Highlighting Efficient APOC3 Editing and Marked Triglyceride Reduction with .HEAL-101 at ESGCT 2026</w:t>
      </w:r>
    </w:p>
    <w:p>
      <w:pPr>
        <w:spacing w:after="0" w:line="120"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2"/>
          <w:szCs w:val="22"/>
          <w:i w:val="1"/>
          <w:iCs w:val="1"/>
          <w:color w:val="auto"/>
        </w:rPr>
        <w:t>70% in vivo editing of human APOC3 in a single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-92710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i w:val="1"/>
          <w:iCs w:val="1"/>
          <w:color w:val="auto"/>
        </w:rPr>
        <w:t>76% triglyceride reduction after a single dose in murine disease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1689735</wp:posOffset>
            </wp:positionH>
            <wp:positionV relativeFrom="paragraph">
              <wp:posOffset>-92710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NEW YORK, Oct. 27, 2026 (GLOBE NEWSWIRE) -- Cellectis (Euronext Growth: ALCLS – Nasdaq: CLLS), a genome engineering company developing genetic medicines for diseases that today demand a lifetime of treatment, today announced the presentation of preclinical data supporting .HEAL-101, its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base editing product candidate targeting APOC3 for severe hypertriglyceridemia (sHTG), at the Annual Congress of the European Society of Gene and Cell Therapy (ESGCT), being held October 27-30, 2026, in Hamburg, Germany.</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.HEAL-101 is an APOC3-specific TALE base editor delivered as mRNA in liver-directed lipid nanoparticles (LNPs), designed to permanently inactivate APOC3, a genetically validated driver of elevated triglycerides, after a single intravenous administration. The poster presents an expanded preclinical data set for .HEAL-101, building on the initial dataset first disclosed by Cellectis on September 14, 2026.</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“These expanded preclinical data reinforce the potential of our TALE base editing approach to achieve efficient and specific APOC3 editing following a single administration,” said Julien Valton, Ph.D., Vice President, Gene Therapy at Cellectis. “The substantial reduction in triglyceride level observed across our preclinical study provide further support for the development of</w:t>
      </w:r>
    </w:p>
    <w:p>
      <w:pPr>
        <w:ind w:right="3220"/>
        <w:spacing w:after="0" w:line="421" w:lineRule="auto"/>
        <w:rPr>
          <w:sz w:val="20"/>
          <w:szCs w:val="20"/>
          <w:color w:val="auto"/>
        </w:rPr>
      </w:pPr>
      <w:r>
        <w:rPr>
          <w:rFonts w:ascii="Times New Roman" w:cs="Times New Roman" w:eastAsia="Times New Roman" w:hAnsi="Times New Roman"/>
          <w:sz w:val="22"/>
          <w:szCs w:val="22"/>
          <w:color w:val="auto"/>
        </w:rPr>
        <w:t xml:space="preserve">.HEAL-101 as a potential one-time treatment for patients with severe hypertriglyceridemia.” </w:t>
      </w:r>
      <w:r>
        <w:rPr>
          <w:rFonts w:ascii="Times New Roman" w:cs="Times New Roman" w:eastAsia="Times New Roman" w:hAnsi="Times New Roman"/>
          <w:sz w:val="22"/>
          <w:szCs w:val="22"/>
          <w:b w:val="1"/>
          <w:bCs w:val="1"/>
          <w:color w:val="auto"/>
        </w:rPr>
        <w:t>Key findings presented at ESGCT</w:t>
      </w:r>
    </w:p>
    <w:p>
      <w:pPr>
        <w:ind w:left="540"/>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Efficient and highly specific editing of APOC3 </w:t>
      </w:r>
      <w:r>
        <w:rPr>
          <w:rFonts w:ascii="Times New Roman" w:cs="Times New Roman" w:eastAsia="Times New Roman" w:hAnsi="Times New Roman"/>
          <w:sz w:val="22"/>
          <w:szCs w:val="22"/>
          <w:b w:val="1"/>
          <w:bCs w:val="1"/>
          <w:i w:val="1"/>
          <w:iCs w:val="1"/>
          <w:color w:val="auto"/>
        </w:rPr>
        <w:t>in vitro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 human hepatic cell line, .HEAL-101 achieved a mean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APOC3 editing rate of approximately 90%, without production of DNA double strand break at the target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Efficient editing of human APOC3 </w:t>
      </w:r>
      <w:r>
        <w:rPr>
          <w:rFonts w:ascii="Times New Roman" w:cs="Times New Roman" w:eastAsia="Times New Roman" w:hAnsi="Times New Roman"/>
          <w:sz w:val="22"/>
          <w:szCs w:val="22"/>
          <w:b w:val="1"/>
          <w:bCs w:val="1"/>
          <w:i w:val="1"/>
          <w:iCs w:val="1"/>
          <w:color w:val="auto"/>
        </w:rPr>
        <w:t>in vivo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 normolipidemic humanized liver mouse model, a single intravenous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injection of LNP-mRNA edited the human APOC3 gene at a mean rate of approximately 65%, reaching up to 70%.</w:t>
      </w:r>
    </w:p>
    <w:p>
      <w:pPr>
        <w:ind w:left="540"/>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Marked efficacy in a disease model: </w:t>
      </w:r>
      <w:r>
        <w:rPr>
          <w:rFonts w:ascii="Times New Roman" w:cs="Times New Roman" w:eastAsia="Times New Roman" w:hAnsi="Times New Roman"/>
          <w:sz w:val="22"/>
          <w:szCs w:val="22"/>
          <w:color w:val="auto"/>
        </w:rPr>
        <w:t>In  a  hyper  triglyceridemic  human  APOC3  transgenic  mouse  model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 xml:space="preserve">hypertriglyceridemia, .HEAL-101 reduced </w:t>
      </w:r>
      <w:r>
        <w:rPr>
          <w:rFonts w:ascii="Times New Roman" w:cs="Times New Roman" w:eastAsia="Times New Roman" w:hAnsi="Times New Roman"/>
          <w:sz w:val="22"/>
          <w:szCs w:val="22"/>
          <w:i w:val="1"/>
          <w:iCs w:val="1"/>
          <w:color w:val="auto"/>
        </w:rPr>
        <w:t>APOC3</w:t>
      </w:r>
      <w:r>
        <w:rPr>
          <w:rFonts w:ascii="Times New Roman" w:cs="Times New Roman" w:eastAsia="Times New Roman" w:hAnsi="Times New Roman"/>
          <w:sz w:val="22"/>
          <w:szCs w:val="22"/>
          <w:color w:val="auto"/>
        </w:rPr>
        <w:t xml:space="preserve"> by 67% ± 12%, and triglycerides by 75% ± 11% (mean ± standard</w:t>
      </w:r>
    </w:p>
    <w:p>
      <w:pPr>
        <w:ind w:left="540"/>
        <w:spacing w:after="0" w:line="231" w:lineRule="auto"/>
        <w:rPr>
          <w:sz w:val="20"/>
          <w:szCs w:val="20"/>
          <w:color w:val="auto"/>
        </w:rPr>
      </w:pPr>
      <w:r>
        <w:rPr>
          <w:rFonts w:ascii="Times New Roman" w:cs="Times New Roman" w:eastAsia="Times New Roman" w:hAnsi="Times New Roman"/>
          <w:sz w:val="22"/>
          <w:szCs w:val="22"/>
          <w:color w:val="auto"/>
        </w:rPr>
        <w:t>deviation).</w:t>
      </w:r>
    </w:p>
    <w:p>
      <w:pPr>
        <w:ind w:left="540"/>
        <w:spacing w:after="0"/>
        <w:rPr>
          <w:sz w:val="20"/>
          <w:szCs w:val="20"/>
          <w:color w:val="auto"/>
        </w:rPr>
      </w:pPr>
      <w:r>
        <w:rPr>
          <w:rFonts w:ascii="Times New Roman" w:cs="Times New Roman" w:eastAsia="Times New Roman" w:hAnsi="Times New Roman"/>
          <w:sz w:val="22"/>
          <w:szCs w:val="22"/>
          <w:b w:val="1"/>
          <w:bCs w:val="1"/>
          <w:color w:val="auto"/>
        </w:rPr>
        <w:t xml:space="preserve">Liver-restricted activity: </w:t>
      </w:r>
      <w:r>
        <w:rPr>
          <w:rFonts w:ascii="Times New Roman" w:cs="Times New Roman" w:eastAsia="Times New Roman" w:hAnsi="Times New Roman"/>
          <w:sz w:val="22"/>
          <w:szCs w:val="22"/>
          <w:color w:val="auto"/>
        </w:rPr>
        <w:t>Editing was detected in the liver, with no significant activity in the other tissues analyzed.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preclinical results support the continued development of .HEAL-101. Cellectis plans to initiate a Phase 1 investigator-initiated trial (IIT) in China with preliminary clinical data expected in the second half of 2027.</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Title: </w:t>
      </w:r>
      <w:r>
        <w:rPr>
          <w:rFonts w:ascii="Times New Roman" w:cs="Times New Roman" w:eastAsia="Times New Roman" w:hAnsi="Times New Roman"/>
          <w:sz w:val="22"/>
          <w:szCs w:val="22"/>
          <w:i w:val="1"/>
          <w:iCs w:val="1"/>
          <w:color w:val="auto"/>
        </w:rPr>
        <w:t>In vivo editing of human APOC3 by TALE base editor normalizes triglyceride levels in animal models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Presenter: </w:t>
      </w:r>
      <w:r>
        <w:rPr>
          <w:rFonts w:ascii="Times New Roman" w:cs="Times New Roman" w:eastAsia="Times New Roman" w:hAnsi="Times New Roman"/>
          <w:sz w:val="22"/>
          <w:szCs w:val="22"/>
          <w:color w:val="auto"/>
        </w:rPr>
        <w:t>Julien Valton, Ph.D., Vice President Gene Therapy at Cellectis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Presentation date/time: </w:t>
      </w:r>
      <w:r>
        <w:rPr>
          <w:rFonts w:ascii="Times New Roman" w:cs="Times New Roman" w:eastAsia="Times New Roman" w:hAnsi="Times New Roman"/>
          <w:sz w:val="22"/>
          <w:szCs w:val="22"/>
          <w:color w:val="auto"/>
        </w:rPr>
        <w:t>Thursday, October 29 from 2 to 4 p.m. CET.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Poster number: </w:t>
      </w:r>
      <w:r>
        <w:rPr>
          <w:rFonts w:ascii="Times New Roman" w:cs="Times New Roman" w:eastAsia="Times New Roman" w:hAnsi="Times New Roman"/>
          <w:sz w:val="22"/>
          <w:szCs w:val="22"/>
          <w:color w:val="auto"/>
        </w:rPr>
        <w:t>P0208</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poster presentation is now available on Cellectis’ website.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Cellectis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Cellectis is a genome engineering company developing genetic medicines for diseases that today demand a lifetime of treatment. Leveraging decades of expertise in programmable DNA-binding proteins, the Company has built a differentiated genome engineering platform spanning gene editing, base editing, epigenetic editing and transcriptional regulation. By delivering the genomic intervention each disease requires, Cellectis is advancing a new generation of genetic medicines designed to move beyond disease management and toward lasting therapeutic impact. Cellectis’ headquarters are in Paris, France, with locations in New York and Raleigh (NC). Cellectis is listed on the Nasdaq Global Market (ticker: CLLS) and on Euronext Growth (ticker:ALCLS). To find out more, visit www.cellectis.com and follow Cellectis on LinkedIn and 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Statement</w:t>
      </w:r>
    </w:p>
    <w:p>
      <w:pPr>
        <w:spacing w:after="0" w:line="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applicable securities laws, including the Private Securities Litigation Reform Act of 1995. Forward-looking statements may be identified by words such as “designed to” , “expected” , “plan”, “potential”, or similar expressions and/or the negative of these. These forward-looking statements are based on our management’s current expectations and assumptions and on information currently available to management. Forward-looking statements in this press release include statements regarding the ability of the Company to initiate a IIT in China, the planned timing for the release of preliminary clinical data for the Company’s lead program, the potential of the Company’s</w:t>
      </w:r>
    </w:p>
    <w:p>
      <w:pPr>
        <w:sectPr>
          <w:pgSz w:w="11900" w:h="16838" w:orient="portrait"/>
          <w:cols w:equalWidth="0" w:num="1">
            <w:col w:w="11240"/>
          </w:cols>
          <w:pgMar w:left="320" w:top="108" w:right="339" w:bottom="0" w:gutter="0" w:footer="0" w:header="0"/>
        </w:sectPr>
      </w:pPr>
    </w:p>
    <w:bookmarkStart w:id="4" w:name="page5"/>
    <w:bookmarkEnd w:id="4"/>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preclinical candidate product based on pre-clinical results, the potential for success of the Company’s in vivo gene editing programs. Actual results, performance or events may differ materially from those projected in any forward-looking statement. Many important factors may adversely affect such forward-looking statements and cause actual results to differ from those in any forward-looking statement, including, without limitation, uncertainties inherent in the initiation and completion of preclinical and clinical studies; the availability and timing of results from studies, once initiated; the acceptance by global regulatory agencies of data generated from IIT in China; the potential that pre-clinical animal model data may not translate into further preclinical development or clinical setting; promising preclinical data not yielding positive further preclinical data or clinical results; the performance of the IIT in China, changes in the competitive landscape for </w:t>
      </w:r>
      <w:r>
        <w:rPr>
          <w:rFonts w:ascii="Times New Roman" w:cs="Times New Roman" w:eastAsia="Times New Roman" w:hAnsi="Times New Roman"/>
          <w:sz w:val="21"/>
          <w:szCs w:val="21"/>
          <w:i w:val="1"/>
          <w:iCs w:val="1"/>
          <w:color w:val="auto"/>
        </w:rPr>
        <w:t>in vivo</w:t>
      </w:r>
      <w:r>
        <w:rPr>
          <w:rFonts w:ascii="Times New Roman" w:cs="Times New Roman" w:eastAsia="Times New Roman" w:hAnsi="Times New Roman"/>
          <w:sz w:val="21"/>
          <w:szCs w:val="21"/>
          <w:color w:val="auto"/>
        </w:rPr>
        <w:t xml:space="preserve"> gene editing products; expectations for regulatory approvals to conduct clinical trials; Furthermore, many other important factors, including those described in our Annual Report on Form 20-F as amended and in our annual financial report (including the management report) for the year ended December 31, 2025 and subsequent filings Cellectis makes with the Securities Exchange Commission from time to time, which are available on the SEC’s website at www.sec.gov, as well as other known and unknown risks and uncertainties may adversely affect such forward-looking statements and cause our actual results, performance or achievements to be materially different from those expressed or implied by the forward-looking statements. Except as required by law, we assume no obligation to update these forward-looking statements publicly, or to update the reasons why actual results could differ materially from those anticipated in the forward-looking statements, even if new information becomes available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on Cellectis, please 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contacts:</w:t>
      </w:r>
    </w:p>
    <w:p>
      <w:pPr>
        <w:spacing w:after="0" w:line="18" w:lineRule="exact"/>
        <w:rPr>
          <w:sz w:val="20"/>
          <w:szCs w:val="20"/>
          <w:color w:val="auto"/>
        </w:rPr>
      </w:pPr>
    </w:p>
    <w:p>
      <w:pPr>
        <w:ind w:right="3340"/>
        <w:spacing w:after="0" w:line="258" w:lineRule="auto"/>
        <w:rPr>
          <w:sz w:val="20"/>
          <w:szCs w:val="20"/>
          <w:color w:val="auto"/>
        </w:rPr>
      </w:pPr>
      <w:r>
        <w:rPr>
          <w:rFonts w:ascii="Times New Roman" w:cs="Times New Roman" w:eastAsia="Times New Roman" w:hAnsi="Times New Roman"/>
          <w:sz w:val="21"/>
          <w:szCs w:val="21"/>
          <w:color w:val="auto"/>
        </w:rPr>
        <w:t>Pascalyne Wilson, Director, Communications, + 33 (0)7 76 99 14 33, media@cellectis.com Patricia Sosa Navarro, Chief of Staff to the CEO, +33 (0)7 76 77 46 93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Arthur Stril, Chief Financial Officer &amp; Chief Business Officer, investors@cellectis.com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Cellectis Announces Presentation of Preclinical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Supporting (https://ml.globenewswire.com/Resource/Download/85b73108-6c3a-48bf-9995-ad3f8b133ef3)</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2026-10-28T05:11:13Z</dcterms:created>
  <dcterms:modified xsi:type="dcterms:W3CDTF">2026-10-28T05:11:13Z</dcterms:modified>
</cp:coreProperties>
</file>