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center"/>
        <w:rPr>
          <w:rFonts w:ascii="Times New Roman" w:hAnsi="Times New Roman"/>
          <w:color w:val="000000"/>
          <w:sz w:val="8"/>
        </w:rPr>
      </w:pPr>
      <w:bookmarkStart w:id="0" w:name="clls-20260630.htm"/>
      <w:bookmarkStart w:id="1" w:name="ksclls20260630"/>
      <w:bookmarkEnd w:id="0"/>
      <w:bookmarkEnd w:id="1"/>
      <w:r>
        <w:rPr>
          <w:rFonts w:ascii="Times New Roman" w:hAnsi="Times New Roman"/>
          <w:color w:val="000000"/>
          <w:sz w:val="8"/>
        </w:rPr>
        <w:t xml:space="preserve">xf </w:t>
      </w:r>
    </w:p>
    <w:p>
      <w:pPr>
        <w:pStyle w:val="TextBody"/>
        <w:bidi w:val="0"/>
        <w:spacing w:before="80" w:after="283"/>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40" w:after="283"/>
        <w:ind w:left="4320" w:right="4320" w:hanging="0"/>
        <w:jc w:val="center"/>
        <w:rPr>
          <w:rFonts w:ascii="Times New Roman" w:hAnsi="Times New Roman"/>
          <w:b/>
          <w:color w:val="000000"/>
          <w:sz w:val="36"/>
        </w:rPr>
      </w:pPr>
      <w:r>
        <w:rPr>
          <w:rFonts w:ascii="Times New Roman" w:hAnsi="Times New Roman"/>
          <w:b/>
          <w:color w:val="000000"/>
          <w:sz w:val="36"/>
        </w:rPr>
        <w:t>FORM 6-K/A</w:t>
      </w:r>
    </w:p>
    <w:p>
      <w:pPr>
        <w:pStyle w:val="TextBody"/>
        <w:bidi w:val="0"/>
        <w:spacing w:before="240" w:after="283"/>
        <w:ind w:left="4320" w:right="4320" w:hanging="0"/>
        <w:jc w:val="center"/>
        <w:rPr>
          <w:rFonts w:ascii="Times New Roman" w:hAnsi="Times New Roman"/>
          <w:sz w:val="24"/>
        </w:rPr>
      </w:pPr>
      <w:r>
        <w:rPr>
          <w:rFonts w:ascii="Times New Roman" w:hAnsi="Times New Roman"/>
          <w:b/>
          <w:color w:val="000000"/>
          <w:sz w:val="24"/>
        </w:rPr>
        <w:t>Report of Foreign Private Issuer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Rule 13a-16 or 15d-16</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under the Securities Exchange Act of 1934</w:t>
      </w:r>
      <w:r>
        <w:rPr>
          <w:rFonts w:ascii="Times New Roman" w:hAnsi="Times New Roman"/>
          <w:color w:val="000000"/>
          <w:sz w:val="24"/>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Date of Report: September 11,</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001-36891</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48"/>
        </w:rPr>
      </w:pPr>
      <w:r>
        <w:rPr>
          <w:rFonts w:ascii="Times New Roman" w:hAnsi="Times New Roman"/>
          <w:b/>
          <w:color w:val="000000"/>
          <w:sz w:val="48"/>
        </w:rPr>
        <w:t>Cellectis S.A.</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0"/>
        </w:rPr>
        <w:t>8, rue de la Croix Jarry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75013 Paris, France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+33 1 81 69 16 00</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(Address of principal executive office)</w:t>
      </w:r>
      <w:r>
        <w:rPr>
          <w:rFonts w:ascii="Times New Roman" w:hAnsi="Times New Roman"/>
          <w:color w:val="000000"/>
          <w:sz w:val="16"/>
        </w:rPr>
        <w:t xml:space="preserve"> </w:t>
      </w:r>
    </w:p>
    <w:p>
      <w:pPr>
        <w:pStyle w:val="TextBody"/>
        <w:bidi w:val="0"/>
        <w:spacing w:before="240" w:after="283"/>
        <w:ind w:left="4320" w:right="4320" w:hanging="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Explanatory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on Form 6-K/A (this “Amendment”) filed by Cellectis S.A. (the “Company”) amends the Company’s report on Form 6-K, which included the Company’s unaudited Condensed Consolidated Interim Financial Statements as of, and for the three- and six-month periods ended, June 30, 2026 (the “Report”), filed with the U.S. Securities and Exchange Commission on August 6, 2026, solely to provide the financial statements formatted in iXBRL (Inline eXtensible Business Reporting Language) in accordance with Rule 405 of Regulation S-T and paragraph C.(6)(a)(ii) of the General Instructions to Form 6-K. Exhibit 101 includes information in Inline eXtensible Business Reporting Language.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br/>
        <w:t>Other than as expressly set forth above, this Amendment does not, and does not purport to, amend, revise, update or restate the information presented in the Report or reflect any events that have occurred after the Report was originally filed.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Cellectis S.A.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included in this report on Form 6-K, including Exhibit 99.1, shall be deemed to be incorporated by reference in the registration statements of Cellectis S.A. on Form F-3 (Nos. 333-284302 and 333-288491) and Form S-8 (Nos. 333-204205, 333-214884, 333-222482, 333-227717, 333-258514, 333-267760, 333-273777, 333-284301 and 333-290218), to the extent not superseded by documents or reports subsequently filed.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u w:val="single"/>
        </w:rPr>
        <w:t>EXHIBIT INDEX</w:t>
      </w:r>
      <w:r>
        <w:rPr>
          <w:rFonts w:ascii="Times New Roman" w:hAnsi="Times New Roman"/>
          <w:color w:val="000000"/>
          <w:sz w:val="20"/>
        </w:rPr>
        <w:t xml:space="preserve"> </w:t>
      </w:r>
    </w:p>
    <w:p>
      <w:pPr>
        <w:pStyle w:val="TextBody"/>
        <w:bidi w:val="0"/>
        <w:jc w:val="left"/>
        <w:rPr/>
      </w:pPr>
      <w:r>
        <w:rPr/>
        <w:t> </w:t>
      </w:r>
    </w:p>
    <w:tbl>
      <w:tblPr>
        <w:tblW w:w="7108" w:type="dxa"/>
        <w:jc w:val="left"/>
        <w:tblInd w:w="0" w:type="dxa"/>
        <w:tblLayout w:type="fixed"/>
        <w:tblCellMar>
          <w:top w:w="28" w:type="dxa"/>
          <w:left w:w="28" w:type="dxa"/>
          <w:bottom w:w="28" w:type="dxa"/>
          <w:right w:w="28" w:type="dxa"/>
        </w:tblCellMar>
      </w:tblPr>
      <w:tblGrid>
        <w:gridCol w:w="646"/>
        <w:gridCol w:w="146"/>
        <w:gridCol w:w="631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6"/>
              </w:rPr>
            </w:pPr>
            <w:r>
              <w:rPr>
                <w:rFonts w:ascii="Times New Roman" w:hAnsi="Times New Roman"/>
                <w:b/>
                <w:color w:val="000000"/>
                <w:sz w:val="16"/>
              </w:rPr>
              <w:t>Title</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bidi w:val="0"/>
              <w:spacing w:before="0" w:after="283"/>
              <w:jc w:val="left"/>
              <w:rPr/>
            </w:pPr>
            <w:hyperlink w:anchor="clls-ex99_1.htm">
              <w:r>
                <w:rPr>
                  <w:rStyle w:val="InternetLink"/>
                  <w:rFonts w:ascii="Times New Roman" w:hAnsi="Times New Roman"/>
                  <w:color w:val="0000FF"/>
                  <w:sz w:val="20"/>
                  <w:u w:val="single"/>
                </w:rPr>
                <w:t>Cellectis S.A.’s interim report for the six-month period ended June 30, 2026</w:t>
              </w:r>
            </w:hyperlink>
            <w:r>
              <w:rPr>
                <w:rFonts w:ascii="Times New Roman" w:hAnsi="Times New Roman"/>
                <w:color w:val="000000"/>
                <w:sz w:val="20"/>
              </w:rPr>
              <w:t xml:space="preserve">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101 The following materials from Cellectis S.A.’s Report on Form 6-K formatted in iXBRL (Inline eXtensible Business Reporting Language): (i) the Interim Condensed Statements of Consolidated Financial Position (Unaudited), (ii) the Interim Condensed Statements of Consolidated Operations (Unaudited), (iii) the Interim Condensed Statements of Consolidated Comprehensive Income (Loss) (Unaudited), (iv) the Interim Condensed Statements of Consolidated Cash Flows (Unaudited), (v) the Interim Condensed Statements of Changes in Consolidated Shareholders’ Equity (Unaudited), and (vi) the Notes to the Interim Condensed Consolidated Financial Statements (Unaudited).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263" w:type="dxa"/>
        <w:jc w:val="left"/>
        <w:tblInd w:w="0" w:type="dxa"/>
        <w:tblLayout w:type="fixed"/>
        <w:tblCellMar>
          <w:top w:w="28" w:type="dxa"/>
          <w:left w:w="28" w:type="dxa"/>
          <w:bottom w:w="28" w:type="dxa"/>
          <w:right w:w="28" w:type="dxa"/>
        </w:tblCellMar>
      </w:tblPr>
      <w:tblGrid>
        <w:gridCol w:w="1741"/>
        <w:gridCol w:w="451"/>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2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CELLECTIS S.A.</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(Registrant)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11,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07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/s/ André Choulika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André Choulika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right"/>
        <w:rPr>
          <w:rFonts w:ascii="Times New Roman" w:hAnsi="Times New Roman"/>
          <w:sz w:val="20"/>
        </w:rPr>
      </w:pPr>
      <w:bookmarkStart w:id="2" w:name="clls-ex99_1.htm"/>
      <w:bookmarkStart w:id="3" w:name="kscllsex99_1"/>
      <w:bookmarkEnd w:id="2"/>
      <w:bookmarkEnd w:id="3"/>
      <w:r>
        <w:rPr>
          <w:rFonts w:ascii="Times New Roman" w:hAnsi="Times New Roman"/>
          <w:b/>
          <w:color w:val="000000"/>
          <w:sz w:val="20"/>
        </w:rPr>
        <w:t>Exhibit 99.1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PRELIMINARY NOTE</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The unaudited condensed Consolidated Financial Statements for the six-month period ended June 30, 2026, included herein, have been prepared in accordance with International Accounting Standard 34 (“IAS 34”)– Interim Financial Reporting as issued by the International Accounting Standards Board (“IASB”). The consolidated financial statements are presented in U.S. dollars. All references in this interim report to “$” and “U.S. dollars” mean U.S. dollars and all references to “€” and “euros” mean euros, unless otherwise noted.</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This interim report, including “Management’s Discussion and Analysis of Financial Condition and Results of Operations,” contains forward-looking statements within the meaning of applicable securities laws, including the Private Securities Litigation Reform Act of 1995 and Section 27A of the Securities Act. All statements other than present and historical facts and conditions contained in this interim report, including statements regarding our future results of operations and financial position, business strategy, plans and our objectives for future operations, are forward-looking statements. When used in this interim report, the words “anticipate,” “believe,” “can,” “could,” “estimate,” “expect,” “intend,” “is designed to,” “may,” “might,” “plan,” “potential,” “predict,” “objective,” “should,” or the negative of these and similar expressions identify forward-looking statements. These forward-looking statements are subject to numerous risks and uncertainties and are made in light of information currently available to us. Actual results, performance or events may differ materially from those projected in any forward-looking statement. Many important factors may adversely affect such forward-looking statements and cause actual results to differ from those in any forward-looking statement, including, without limitation, inconclusive clinical trial results or clinical trials failing to achieve one or more endpoints; early data not being repeated in ongoing or future clinical trials; promising preclinical data not yielding positive clinical results; failures to secure required regulatory approvals; regulatory developments in the United States and European Union and its member countries, and other countries; disruptions from failures by third-parties on whom we rely in connection with our clinical trials; delays or negative determinations by regulatory authorities; changes or increases in oversight and regulation; increased competition, including within the hemato-oncology field, which may affect our assessment of the relative strategic priority of our various research and development programs; manufacturing delays or problems; inability to achieve enrollment targets; disagreements with our collaboration partners or failures of collaboration partners to pursue product candidates; legal challenges, including product liability claims or intellectual property disputes or disputes with respect to a licensing agreement; any failure to achieve potential benefits or our licensing agreements with licensees or to enter into future arrangements; the ability and willingness of licensees to actively pursue development activities under our collaboration agreements; commercialization factors, including regulatory approval and pricing determinations; disruptions to access to raw materials or starting material; delays or disruptions at our in-house manufacturing facilities; proliferation and continuous evolution of new technologies; capital resource constraints; the rate and degree of market acceptance of, and demand for, our product candidates; dislocations in the capital markets; our ability to attract and retain key scientific and management personnel; and other important factors described under “Risk Factors” and “Special Note Regarding Forward-Looking Statements” in our Annual Report on Form 20-F filed with the Securities and Exchange Commission (the “SEC”) on March 20, 2026 (the “Annual Report”) and under “Risk Factors” in the interim reports that we file with the SEC. As a result of these factors, we cannot assure you that the forward-looking statements in this interim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r>
        <w:rPr>
          <w:rFonts w:ascii="Times New Roman" w:hAnsi="Times New Roman"/>
          <w:color w:val="000000"/>
          <w:sz w:val="20"/>
        </w:rPr>
        <w:t xml:space="preserve"> </w:t>
      </w:r>
    </w:p>
    <w:p>
      <w:pPr>
        <w:pStyle w:val="TextBody"/>
        <w:bidi w:val="0"/>
        <w:spacing w:lineRule="auto" w:line="360" w:before="240" w:after="283"/>
        <w:ind w:left="0" w:right="0" w:firstLine="490"/>
        <w:jc w:val="both"/>
        <w:rPr>
          <w:rFonts w:ascii="Times New Roman" w:hAnsi="Times New Roman"/>
          <w:sz w:val="10"/>
        </w:rPr>
      </w:pPr>
      <w:r>
        <w:rPr>
          <w:rFonts w:ascii="Times New Roman" w:hAnsi="Times New Roman"/>
          <w:i/>
          <w:color w:val="000000"/>
          <w:sz w:val="20"/>
        </w:rPr>
        <w:t>We own various trademark registrations and applications, and unregistered trademarks and service marks, including Cellectis</w:t>
      </w:r>
      <w:r>
        <w:rPr>
          <w:rFonts w:ascii="Times New Roman" w:hAnsi="Times New Roman"/>
          <w:i/>
          <w:color w:val="000000"/>
          <w:sz w:val="10"/>
        </w:rPr>
        <w:t>®</w:t>
      </w:r>
      <w:r>
        <w:rPr>
          <w:rFonts w:ascii="Times New Roman" w:hAnsi="Times New Roman"/>
          <w:i/>
          <w:color w:val="000000"/>
          <w:sz w:val="20"/>
        </w:rPr>
        <w:t>, TALEN</w:t>
      </w:r>
      <w:r>
        <w:rPr>
          <w:rFonts w:ascii="Times New Roman" w:hAnsi="Times New Roman"/>
          <w:i/>
          <w:color w:val="000000"/>
          <w:sz w:val="10"/>
        </w:rPr>
        <w:t>®</w:t>
      </w:r>
      <w:r>
        <w:rPr>
          <w:rFonts w:ascii="Times New Roman" w:hAnsi="Times New Roman"/>
          <w:color w:val="000000"/>
          <w:sz w:val="10"/>
        </w:rPr>
        <w:t xml:space="preserve"> </w:t>
      </w:r>
      <w:r>
        <w:rPr>
          <w:rFonts w:ascii="Times New Roman" w:hAnsi="Times New Roman"/>
          <w:i/>
          <w:color w:val="000000"/>
          <w:sz w:val="20"/>
        </w:rPr>
        <w:t xml:space="preserve">and our corporate logos, and all such trademarks and service marks appearing in this interim report are the property of Cellectis. All other trade names, trademarks and service marks of other companies appearing in this interim report are the property of their respective holders. Solely for convenience, the trademarks and trade names in this interim report may be referred to without the </w:t>
      </w:r>
      <w:r>
        <w:rPr>
          <w:rFonts w:ascii="Times New Roman" w:hAnsi="Times New Roman"/>
          <w:i/>
          <w:color w:val="000000"/>
          <w:sz w:val="10"/>
        </w:rPr>
        <w:t>®</w:t>
      </w:r>
      <w:r>
        <w:rPr>
          <w:rFonts w:ascii="Times New Roman" w:hAnsi="Times New Roman"/>
          <w:color w:val="000000"/>
          <w:sz w:val="10"/>
        </w:rPr>
        <w:t xml:space="preserve"> </w:t>
      </w:r>
      <w:r>
        <w:rPr>
          <w:rFonts w:ascii="Times New Roman" w:hAnsi="Times New Roman"/>
          <w:i/>
          <w:color w:val="000000"/>
          <w:sz w:val="20"/>
        </w:rPr>
        <w:t xml:space="preserve">and </w:t>
      </w:r>
      <w:r>
        <w:rPr>
          <w:rFonts w:ascii="Times New Roman" w:hAnsi="Times New Roman"/>
          <w:i/>
          <w:color w:val="000000"/>
          <w:sz w:val="10"/>
        </w:rPr>
        <w:t></w:t>
      </w:r>
      <w:r>
        <w:rPr>
          <w:rFonts w:ascii="Times New Roman" w:hAnsi="Times New Roman"/>
          <w:color w:val="000000"/>
          <w:sz w:val="10"/>
        </w:rPr>
        <w:t xml:space="preserve"> </w:t>
      </w:r>
      <w:r>
        <w:rPr>
          <w:rFonts w:ascii="Times New Roman" w:hAnsi="Times New Roman"/>
          <w:i/>
          <w:color w:val="000000"/>
          <w:sz w:val="20"/>
        </w:rPr>
        <w:t>symbols, but such references, or the failure of such symbols to appear, should not be construed as any indication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r>
        <w:rPr>
          <w:rFonts w:ascii="Times New Roman" w:hAnsi="Times New Roman"/>
          <w:color w:val="000000"/>
          <w:sz w:val="10"/>
        </w:rPr>
        <w:t xml:space="preserve"> </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As used in this interim report, the terms “Cellectis,” “we,” “our,” “us,” and “the Company” refer to Cellectis S.A. and its subsidiaries, taken as a whole, unless the context otherwise requires. References to “Calyxt” refer to Calyxt, Inc. (renamed Cibus, Inc,. as of May 31, 2023) and its subsidiaries, taken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18" w:type="dxa"/>
        <w:jc w:val="left"/>
        <w:tblInd w:w="0" w:type="dxa"/>
        <w:tblLayout w:type="fixed"/>
        <w:tblCellMar>
          <w:top w:w="28" w:type="dxa"/>
          <w:left w:w="28" w:type="dxa"/>
          <w:bottom w:w="28" w:type="dxa"/>
          <w:right w:w="28" w:type="dxa"/>
        </w:tblCellMar>
      </w:tblPr>
      <w:tblGrid>
        <w:gridCol w:w="841"/>
        <w:gridCol w:w="7216"/>
        <w:gridCol w:w="361"/>
      </w:tblGrid>
      <w:tr>
        <w:trPr/>
        <w:tc>
          <w:tcPr>
            <w:tcW w:w="841"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057"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arti_financial_information">
              <w:r>
                <w:rPr>
                  <w:rStyle w:val="InternetLink"/>
                  <w:rFonts w:ascii="Times New Roman" w:hAnsi="Times New Roman"/>
                  <w:b/>
                  <w:color w:val="0000FF"/>
                  <w:sz w:val="20"/>
                  <w:u w:val="single"/>
                </w:rPr>
                <w:t>PART I – FINANCIAL INFORMATION</w:t>
              </w:r>
            </w:hyperlink>
            <w:hyperlink w:anchor="parti_financial_information">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1.</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1_financial_statements">
              <w:r>
                <w:rPr>
                  <w:rStyle w:val="InternetLink"/>
                  <w:rFonts w:ascii="Times New Roman" w:hAnsi="Times New Roman"/>
                  <w:color w:val="0000FF"/>
                  <w:sz w:val="20"/>
                  <w:u w:val="single"/>
                </w:rPr>
                <w:t>Interim Condensed Consolidated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2.</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2_mda">
              <w:r>
                <w:rPr>
                  <w:rStyle w:val="InternetLink"/>
                  <w:rFonts w:ascii="Times New Roman" w:hAnsi="Times New Roman"/>
                  <w:color w:val="0000FF"/>
                  <w:sz w:val="20"/>
                  <w:u w:val="single"/>
                </w:rPr>
                <w:t>Management’s Discussion &amp;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3.</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3_quantitative_and_qualitative_disc">
              <w:r>
                <w:rPr>
                  <w:rStyle w:val="InternetLink"/>
                  <w:rFonts w:ascii="Times New Roman" w:hAnsi="Times New Roman"/>
                  <w:color w:val="0000FF"/>
                  <w:sz w:val="20"/>
                  <w:u w:val="single"/>
                </w:rPr>
                <w:t>Quantitative and Qualitative Disclosures About Market Risks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4.</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4_control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0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57"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artii">
              <w:r>
                <w:rPr>
                  <w:rStyle w:val="InternetLink"/>
                  <w:rFonts w:ascii="Times New Roman" w:hAnsi="Times New Roman"/>
                  <w:b/>
                  <w:color w:val="0000FF"/>
                  <w:sz w:val="20"/>
                  <w:u w:val="single"/>
                </w:rPr>
                <w:t>PART II – OTHER INFORMATION</w:t>
              </w:r>
            </w:hyperlink>
            <w:hyperlink w:anchor="partii">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1.</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1A.</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1a">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2.</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2">
              <w:r>
                <w:rPr>
                  <w:rStyle w:val="InternetLink"/>
                  <w:rFonts w:ascii="Times New Roman" w:hAnsi="Times New Roman"/>
                  <w:color w:val="0000FF"/>
                  <w:sz w:val="20"/>
                  <w:u w:val="single"/>
                </w:rPr>
                <w:t>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3.</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3">
              <w:r>
                <w:rPr>
                  <w:rStyle w:val="InternetLink"/>
                  <w:rFonts w:ascii="Times New Roman" w:hAnsi="Times New Roman"/>
                  <w:color w:val="0000FF"/>
                  <w:sz w:val="20"/>
                  <w:u w:val="single"/>
                </w:rPr>
                <w:t>Default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4.</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4">
              <w:r>
                <w:rPr>
                  <w:rStyle w:val="InternetLink"/>
                  <w:rFonts w:ascii="Times New Roman" w:hAnsi="Times New Roman"/>
                  <w:color w:val="0000FF"/>
                  <w:sz w:val="20"/>
                  <w:u w:val="single"/>
                </w:rPr>
                <w:t>Mine Safety Disclosures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5.</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5">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6.</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6">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4" w:name="parti_financial_information"/>
      <w:bookmarkEnd w:id="4"/>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5" w:name="item1_financial_statements"/>
      <w:bookmarkEnd w:id="5"/>
      <w:r>
        <w:rPr>
          <w:rFonts w:ascii="Times New Roman" w:hAnsi="Times New Roman"/>
          <w:b/>
          <w:color w:val="000000"/>
          <w:sz w:val="20"/>
        </w:rPr>
        <w:t>Item 1. Unaudited Interim Condensed Consolidated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financial_position"/>
      <w:bookmarkEnd w:id="6"/>
      <w:r>
        <w:rPr>
          <w:rFonts w:ascii="Times New Roman" w:hAnsi="Times New Roman"/>
          <w:b/>
          <w:color w:val="000000"/>
          <w:sz w:val="20"/>
        </w:rPr>
        <w:t>UNAUDITED INTERIM CONDENSED STATEMENTS OF CONSOLIDATED FINANCIAL POSITION</w:t>
      </w:r>
    </w:p>
    <w:p>
      <w:pPr>
        <w:pStyle w:val="TextBody"/>
        <w:bidi w:val="0"/>
        <w:jc w:val="center"/>
        <w:rPr>
          <w:rFonts w:ascii="Times New Roman" w:hAnsi="Times New Roman"/>
          <w:sz w:val="20"/>
        </w:rPr>
      </w:pPr>
      <w:r>
        <w:rPr>
          <w:rFonts w:ascii="Times New Roman" w:hAnsi="Times New Roman"/>
          <w:b/>
          <w:color w:val="000000"/>
          <w:sz w:val="20"/>
        </w:rPr>
        <w:t>$ in thousands</w:t>
      </w:r>
      <w:r>
        <w:rPr>
          <w:rFonts w:ascii="Times New Roman" w:hAnsi="Times New Roman"/>
          <w:color w:val="000000"/>
          <w:sz w:val="20"/>
        </w:rPr>
        <w:t xml:space="preserve"> </w:t>
      </w:r>
    </w:p>
    <w:tbl>
      <w:tblPr>
        <w:tblW w:w="8486" w:type="dxa"/>
        <w:jc w:val="left"/>
        <w:tblInd w:w="0" w:type="dxa"/>
        <w:tblLayout w:type="fixed"/>
        <w:tblCellMar>
          <w:top w:w="28" w:type="dxa"/>
          <w:left w:w="28" w:type="dxa"/>
          <w:bottom w:w="28" w:type="dxa"/>
          <w:right w:w="28" w:type="dxa"/>
        </w:tblCellMar>
      </w:tblPr>
      <w:tblGrid>
        <w:gridCol w:w="5041"/>
        <w:gridCol w:w="466"/>
        <w:gridCol w:w="146"/>
        <w:gridCol w:w="193"/>
        <w:gridCol w:w="1112"/>
        <w:gridCol w:w="166"/>
        <w:gridCol w:w="146"/>
        <w:gridCol w:w="148"/>
        <w:gridCol w:w="857"/>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financial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Subsidies receivables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financial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184,417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Premiums related to the share capital</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 (deficit)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financial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debts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provisions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91,340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financial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lease debts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and contract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134,958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226,299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form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INTERIM CONDENSED STATEMENTS OF CONSOLIDATED OPERATIONS</w:t>
        <w:br/>
        <w:t>For the six-month period ended June 30,</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31"/>
        <w:gridCol w:w="451"/>
        <w:gridCol w:w="286"/>
        <w:gridCol w:w="146"/>
        <w:gridCol w:w="1141"/>
        <w:gridCol w:w="286"/>
        <w:gridCol w:w="286"/>
        <w:gridCol w:w="146"/>
        <w:gridCol w:w="1141"/>
        <w:gridCol w:w="391"/>
      </w:tblGrid>
      <w:tr>
        <w:trPr/>
        <w:tc>
          <w:tcPr>
            <w:tcW w:w="59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and 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and other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 and other operating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(53,988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Financial gain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(18,098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(41,863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shares used for computing</w:t>
            </w:r>
          </w:p>
        </w:tc>
        <w:tc>
          <w:tcPr>
            <w:tcW w:w="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100,231,292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100,587,696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CONSOLIDATED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six-month period ended June 30,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5"/>
        <w:gridCol w:w="146"/>
        <w:gridCol w:w="159"/>
        <w:gridCol w:w="159"/>
        <w:gridCol w:w="803"/>
        <w:gridCol w:w="290"/>
        <w:gridCol w:w="268"/>
        <w:gridCol w:w="159"/>
        <w:gridCol w:w="803"/>
        <w:gridCol w:w="213"/>
      </w:tblGrid>
      <w:tr>
        <w:trPr/>
        <w:tc>
          <w:tcPr>
            <w:tcW w:w="7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(41,863</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 generated by the parent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15,184</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not be reclassified subsequently to income or loss from 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15,215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w:t>
            </w:r>
          </w:p>
        </w:tc>
        <w:tc>
          <w:tcPr>
            <w:tcW w:w="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be reclassified subsequently to income or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(9,532</w:t>
            </w:r>
          </w:p>
        </w:tc>
        <w:tc>
          <w:tcPr>
            <w:tcW w:w="290"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5,683</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(36,180</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(38,992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form an integral part of these unaudited Interim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INTERIM CONDENSED STATEMENTS OF CONSOLIDATED OPERATIONS</w:t>
        <w:br/>
        <w:t>For the three-month period ended June 30,</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31"/>
        <w:gridCol w:w="451"/>
        <w:gridCol w:w="286"/>
        <w:gridCol w:w="146"/>
        <w:gridCol w:w="1141"/>
        <w:gridCol w:w="286"/>
        <w:gridCol w:w="286"/>
        <w:gridCol w:w="146"/>
        <w:gridCol w:w="1141"/>
        <w:gridCol w:w="391"/>
      </w:tblGrid>
      <w:tr>
        <w:trPr/>
        <w:tc>
          <w:tcPr>
            <w:tcW w:w="59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and 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and other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18,193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 and other operating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(27,779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Financial gain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shares used for computing</w:t>
            </w:r>
          </w:p>
        </w:tc>
        <w:tc>
          <w:tcPr>
            <w:tcW w:w="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100,305,204</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100,647,451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CONSOLIDATED COMPREHENSIVE INCOME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three-month period ended June 30,</w:t>
      </w:r>
    </w:p>
    <w:p>
      <w:pPr>
        <w:pStyle w:val="TextBody"/>
        <w:bidi w:val="0"/>
        <w:jc w:val="center"/>
        <w:rPr>
          <w:rFonts w:ascii="Times New Roman" w:hAnsi="Times New Roman"/>
          <w:b/>
          <w:color w:val="000000"/>
          <w:sz w:val="20"/>
        </w:rPr>
      </w:pPr>
      <w:r>
        <w:rPr>
          <w:rFonts w:ascii="Times New Roman" w:hAnsi="Times New Roman"/>
          <w:b/>
          <w:color w:val="000000"/>
          <w:sz w:val="20"/>
        </w:rPr>
        <w:t>$ in thousand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4"/>
        <w:gridCol w:w="146"/>
        <w:gridCol w:w="146"/>
        <w:gridCol w:w="170"/>
        <w:gridCol w:w="863"/>
        <w:gridCol w:w="311"/>
        <w:gridCol w:w="288"/>
        <w:gridCol w:w="170"/>
        <w:gridCol w:w="863"/>
        <w:gridCol w:w="214"/>
      </w:tblGrid>
      <w:tr>
        <w:trPr/>
        <w:tc>
          <w:tcPr>
            <w:tcW w:w="7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(21,819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gains and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4" w:type="dxa"/>
            <w:tcBorders/>
            <w:shd w:fill="CCED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 generated by the parent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not be reclassified subsequently to income or loss from 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be reclassified subsequently to income or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(20,375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(21,317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form an integral part of these unaudited Interim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CONSOLIDATED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04"/>
        <w:gridCol w:w="511"/>
        <w:gridCol w:w="321"/>
        <w:gridCol w:w="163"/>
        <w:gridCol w:w="843"/>
        <w:gridCol w:w="321"/>
        <w:gridCol w:w="321"/>
        <w:gridCol w:w="163"/>
        <w:gridCol w:w="843"/>
        <w:gridCol w:w="215"/>
      </w:tblGrid>
      <w:tr>
        <w:trPr/>
        <w:tc>
          <w:tcPr>
            <w:tcW w:w="6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0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 present our statements of consolidated cash flows using the indirect method:</w:t>
            </w:r>
          </w:p>
        </w:tc>
        <w:tc>
          <w:tcPr>
            <w:tcW w:w="297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six-month period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cs="Times New Roman"/>
                <w:color w:val="000000"/>
                <w:szCs w:val="17"/>
              </w:rPr>
            </w:pPr>
            <w:r>
              <w:rPr>
                <w:rFonts w:cs="Times New Roman"/>
                <w:color w:val="000000"/>
                <w:szCs w:val="17"/>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Notes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for the period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(41,863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(39,584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 to reconcile net loss to cash used in operating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for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Amortization and depreciation</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9,948</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(income) on disposals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financial loss (gain)</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18,098</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Expenses related to share-based payments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16</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2,258</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non-cash items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Realized foreign exchange gain (loss) related to operating activities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cash flows before change in working capital</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(12,895</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(36,790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(increase) in trade receivables and other current assets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(2,113</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Increase in subsidies and tax receivables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(2,842</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 trade payables and other current liabilities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(6,266</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 deferred revenues and contract liabilities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(12,264</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Change in working capital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(23,485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1,706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 received</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8,910</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4,874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Income tax received (paid)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516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operating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(27,470</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(29,694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property, plant and equipment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repayment of other investments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sales of non-current financial assets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sale of current financial assets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101,222</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non-current financial assets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(28,573</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current financial assets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(120,603</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(105,878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from (used in) investing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(48,494</w:t>
            </w:r>
          </w:p>
        </w:tc>
        <w:tc>
          <w:tcPr>
            <w:tcW w:w="32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12,547</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issuance of share capital and other equity instruments after deduction of transaction costs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Repayments of financial liabilities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(2,598</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 on financial debts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on lease debts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(5,419</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financing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(8,361</w:t>
            </w:r>
          </w:p>
        </w:tc>
        <w:tc>
          <w:tcPr>
            <w:tcW w:w="32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(8,152</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Decrease in cash and cash equivalents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(84,325</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(25,299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20" w:right="0" w:firstLine="2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at the beginning of the year</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143,251</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20" w:right="0" w:firstLine="2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61,533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Effects of exchange rate changes on cash and cash equivalents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at the end of the period</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59,809</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35,590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form an integral part of these unaudited Interim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CHANGES IN CONSOLIDATED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data</w:t>
      </w:r>
    </w:p>
    <w:tbl>
      <w:tblPr>
        <w:tblW w:w="11272" w:type="dxa"/>
        <w:jc w:val="left"/>
        <w:tblInd w:w="0" w:type="dxa"/>
        <w:tblLayout w:type="fixed"/>
        <w:tblCellMar>
          <w:top w:w="28" w:type="dxa"/>
          <w:left w:w="28" w:type="dxa"/>
          <w:bottom w:w="28" w:type="dxa"/>
          <w:right w:w="28" w:type="dxa"/>
        </w:tblCellMar>
      </w:tblPr>
      <w:tblGrid>
        <w:gridCol w:w="1186"/>
        <w:gridCol w:w="451"/>
        <w:gridCol w:w="146"/>
        <w:gridCol w:w="916"/>
        <w:gridCol w:w="146"/>
        <w:gridCol w:w="146"/>
        <w:gridCol w:w="146"/>
        <w:gridCol w:w="916"/>
        <w:gridCol w:w="146"/>
        <w:gridCol w:w="146"/>
        <w:gridCol w:w="146"/>
        <w:gridCol w:w="511"/>
        <w:gridCol w:w="146"/>
        <w:gridCol w:w="146"/>
        <w:gridCol w:w="146"/>
        <w:gridCol w:w="691"/>
        <w:gridCol w:w="166"/>
        <w:gridCol w:w="146"/>
        <w:gridCol w:w="146"/>
        <w:gridCol w:w="149"/>
        <w:gridCol w:w="677"/>
        <w:gridCol w:w="166"/>
        <w:gridCol w:w="146"/>
        <w:gridCol w:w="146"/>
        <w:gridCol w:w="751"/>
        <w:gridCol w:w="166"/>
        <w:gridCol w:w="146"/>
        <w:gridCol w:w="146"/>
        <w:gridCol w:w="661"/>
        <w:gridCol w:w="166"/>
        <w:gridCol w:w="146"/>
        <w:gridCol w:w="175"/>
        <w:gridCol w:w="83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Notes</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preferred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Premiums related to share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Currency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 earnings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Income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Shareholders’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January 1, 2025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72,093,873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(292,846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131,033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Allocation of prior period loss (2)</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share warrants, employee warrants, stock-options and vesting of free-shares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stock-based compensation expense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72,325,229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433,549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(33,885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(266,592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(41,863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97,111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January 1, 2026</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72,339,441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437,445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Allocation of prior period loss (1)</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share warrants, employee warrants, stock-options and vesting of free-shares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stock-based compensation expense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72,698,158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371,749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(264,344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(39,584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41,066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(1) The standalone statutory loss for the year ended December 31, 2025 of the parent company was allocated to premiums related to share capital for 61.8</w:t>
      </w:r>
      <w:r>
        <w:rPr>
          <w:rFonts w:ascii="Times New Roman" w:hAnsi="Times New Roman"/>
          <w:color w:val="000000"/>
          <w:sz w:val="20"/>
        </w:rPr>
        <w:t xml:space="preserve"> </w:t>
      </w:r>
      <w:r>
        <w:rPr>
          <w:rFonts w:ascii="Times New Roman" w:hAnsi="Times New Roman"/>
          <w:i/>
          <w:color w:val="000000"/>
          <w:sz w:val="20"/>
        </w:rPr>
        <w:t>million euros or approximately 69.8</w:t>
      </w:r>
      <w:r>
        <w:rPr>
          <w:rFonts w:ascii="Times New Roman" w:hAnsi="Times New Roman"/>
          <w:color w:val="000000"/>
          <w:sz w:val="20"/>
        </w:rPr>
        <w:t xml:space="preserve"> </w:t>
      </w:r>
      <w:r>
        <w:rPr>
          <w:rFonts w:ascii="Times New Roman" w:hAnsi="Times New Roman"/>
          <w:i/>
          <w:color w:val="000000"/>
          <w:sz w:val="20"/>
        </w:rPr>
        <w:t>million U.S. dollars following the decision of the Annual General Meeting of shareholders which took place on June 25, 2026. The difference between this standalone statutory loss of the parent company and the consolidated net loss was allocated to retained deficit for $2.3</w:t>
      </w:r>
      <w:r>
        <w:rPr>
          <w:rFonts w:ascii="Times New Roman" w:hAnsi="Times New Roman"/>
          <w:color w:val="000000"/>
          <w:sz w:val="20"/>
        </w:rPr>
        <w:t xml:space="preserve"> </w:t>
      </w:r>
      <w:r>
        <w:rPr>
          <w:rFonts w:ascii="Times New Roman" w:hAnsi="Times New Roman"/>
          <w:i/>
          <w:color w:val="000000"/>
          <w:sz w:val="20"/>
        </w:rPr>
        <w:t>million.</w:t>
      </w:r>
    </w:p>
    <w:p>
      <w:pPr>
        <w:pStyle w:val="TextBody"/>
        <w:bidi w:val="0"/>
        <w:spacing w:before="240" w:after="283"/>
        <w:jc w:val="both"/>
        <w:rPr>
          <w:rFonts w:ascii="Times New Roman" w:hAnsi="Times New Roman"/>
          <w:sz w:val="20"/>
        </w:rPr>
      </w:pPr>
      <w:r>
        <w:rPr>
          <w:rFonts w:ascii="Times New Roman" w:hAnsi="Times New Roman"/>
          <w:i/>
          <w:color w:val="000000"/>
          <w:sz w:val="20"/>
        </w:rPr>
        <w:t>(2) The standalone statutory loss for the year ended December 31, 2024 of the parent company was allocated to premiums related to share capital for 58.2</w:t>
      </w:r>
      <w:r>
        <w:rPr>
          <w:rFonts w:ascii="Times New Roman" w:hAnsi="Times New Roman"/>
          <w:color w:val="000000"/>
          <w:sz w:val="20"/>
        </w:rPr>
        <w:t xml:space="preserve"> </w:t>
      </w:r>
      <w:r>
        <w:rPr>
          <w:rFonts w:ascii="Times New Roman" w:hAnsi="Times New Roman"/>
          <w:i/>
          <w:color w:val="000000"/>
          <w:sz w:val="20"/>
        </w:rPr>
        <w:t>million euros or approximately $63.0</w:t>
      </w:r>
      <w:r>
        <w:rPr>
          <w:rFonts w:ascii="Times New Roman" w:hAnsi="Times New Roman"/>
          <w:color w:val="000000"/>
          <w:sz w:val="20"/>
        </w:rPr>
        <w:t xml:space="preserve"> </w:t>
      </w:r>
      <w:r>
        <w:rPr>
          <w:rFonts w:ascii="Times New Roman" w:hAnsi="Times New Roman"/>
          <w:i/>
          <w:color w:val="000000"/>
          <w:sz w:val="20"/>
        </w:rPr>
        <w:t>million following the decision of the Annual General Meeting of shareholders which took place on June 26, 2025. The difference between this standalone statutory loss of the parent company and the consolidated net loss was allocated to retained deficit for $26.2</w:t>
      </w:r>
      <w:r>
        <w:rPr>
          <w:rFonts w:ascii="Times New Roman" w:hAnsi="Times New Roman"/>
          <w:color w:val="000000"/>
          <w:sz w:val="20"/>
        </w:rPr>
        <w:t xml:space="preserve"> </w:t>
      </w:r>
      <w:r>
        <w:rPr>
          <w:rFonts w:ascii="Times New Roman" w:hAnsi="Times New Roman"/>
          <w:i/>
          <w:color w:val="000000"/>
          <w:sz w:val="20"/>
        </w:rPr>
        <w:t>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accompanying notes form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THE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Cellectis S.A. (hereinafter “Cellectis” or “we”) is a limited liability company (“société anonyme”) registered and domiciled in Paris, France.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clinical stage biotechnological company, employing our core proprietary technologies to develop products based on gene-editing, with a portfolio of allogeneic Chimeric Antigen Receptor T-cells (“UCART”) product candidates in the field of immuno-oncology and gene therapy product candidates in other therapeutic indications.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UCART product candidates, based on gene-edited T-cells that express Chimeric Antigen Receptors (“CARs”), seek to harness the power of the immune system to target and eradicate cancers. We believe that CAR-based immunotherapy is one of the most promising areas of cancer research, representing a new paradigm for cancer treatment. We are designing next-generation immunotherapies that are based on gene-edited CAR T-cells. Our gene-editing technologies allow us to create allogeneic CAR T-cells, meaning they are derived from healthy donors rather than the patients themselves. We believe that the allogeneic production of CAR T-cells will allow us to develop cost-effective, “off-the-shelf” products that are capable of being stored and distributed worldwide. Our gene-editing expertise also enables us to develop product candidates that feature additional safety and efficacy attributes, including control properties designed to prevent them from attacking healthy tissues, to enable them to tolerate standard oncology treatments, and to equip them to resist mechanisms that inhibit immune-system activity.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Together with our focus on immuno-oncology, we are using our gene-editing technologies to develop gene therapy product candidates in other therapeutic indications. The relative emphasis we place on our programs and product candidates may evolve from time-to-time in light of a variety of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Cellectis S.A., Cellectis, Inc., Cellectis Biologics, Inc., as a consolidated group of companies, are sometimes referred to as the “Group.”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Accounting principles</w:t>
      </w:r>
    </w:p>
    <w:p>
      <w:pPr>
        <w:pStyle w:val="TextBody"/>
        <w:bidi w:val="0"/>
        <w:spacing w:before="120" w:after="283"/>
        <w:jc w:val="left"/>
        <w:rPr>
          <w:rFonts w:ascii="Times New Roman" w:hAnsi="Times New Roman"/>
          <w:sz w:val="20"/>
        </w:rPr>
      </w:pPr>
      <w:r>
        <w:rPr>
          <w:rFonts w:ascii="Times New Roman" w:hAnsi="Times New Roman"/>
          <w:b/>
          <w:i/>
          <w:color w:val="000000"/>
          <w:sz w:val="20"/>
        </w:rPr>
        <w:t>2.1 Basis for preparation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of Cellectis as of, and for the six-month period ended June 30, 2026 were approved by our Board of Directors on August 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Interim Condensed Consolidated Financial Statements are presented in thousands of U.S. dollars. See Note 2.2.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Interim Condensed Consolidated Financial Statements for the six months ended June 30, 2026 have been prepared in accordance with IAS 34 </w:t>
      </w:r>
      <w:r>
        <w:rPr>
          <w:rFonts w:ascii="Times New Roman" w:hAnsi="Times New Roman"/>
          <w:i/>
          <w:color w:val="000000"/>
          <w:sz w:val="20"/>
        </w:rPr>
        <w:t>Interim Financial Reporting</w:t>
      </w:r>
      <w:r>
        <w:rPr>
          <w:rFonts w:ascii="Times New Roman" w:hAnsi="Times New Roman"/>
          <w:color w:val="000000"/>
          <w:sz w:val="20"/>
        </w:rPr>
        <w:t>, and should be read in conjunction with the Group's last annual consolidated financial statements as at and for the year ended December 31, 2025 ("last annual financial statements"). They do not include all of the information required for a complete set of financial statements prepared in accordance with IFRS Accounting Standards. However selected explanatory notes are included to explain events and transactions that are significant to an understanding of the changes in the Group's financial position and performance since the last annual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Interim Condensed Consolidated Financial Statements as of and for the six-month period ended June 30, 2026 have been prepared using the same accounting policies and methods as those applied for the year ended December 31, 2025, except as described below related to the new or amended accounting standards applied.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Group presents its operations as one reportable segment corresponding to the Therapeutics segment.</w:t>
      </w:r>
    </w:p>
    <w:p>
      <w:pPr>
        <w:pStyle w:val="TextBody"/>
        <w:bidi w:val="0"/>
        <w:spacing w:before="360" w:after="283"/>
        <w:ind w:left="244" w:right="0" w:hanging="0"/>
        <w:jc w:val="both"/>
        <w:rPr>
          <w:rFonts w:ascii="Times New Roman" w:hAnsi="Times New Roman"/>
          <w:i/>
          <w:color w:val="000000"/>
          <w:sz w:val="20"/>
        </w:rPr>
      </w:pPr>
      <w:r>
        <w:rPr>
          <w:rFonts w:ascii="Times New Roman" w:hAnsi="Times New Roman"/>
          <w:i/>
          <w:color w:val="000000"/>
          <w:sz w:val="20"/>
        </w:rPr>
        <w:t>Application of new or amended accounting standards or new amendments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pronouncements and related amendments have been adopted by us from January 1, 2026 but had no significant impact on the Interim Condensed Consolidated Financial Statements: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Amendments to IFRS 9 and IFRS 7 regarding </w:t>
      </w:r>
      <w:r>
        <w:rPr>
          <w:rFonts w:ascii="Times New Roman" w:hAnsi="Times New Roman"/>
          <w:i/>
          <w:color w:val="000000"/>
          <w:sz w:val="20"/>
        </w:rPr>
        <w:t>Contracts Referencing Nature-dependent Electricity</w:t>
      </w:r>
      <w:r>
        <w:rPr>
          <w:rFonts w:ascii="Times New Roman" w:hAnsi="Times New Roman"/>
          <w:color w:val="000000"/>
          <w:sz w:val="20"/>
        </w:rPr>
        <w:t xml:space="preserve"> (effective for the accounting periods beginning on or after January 1, 2026)</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Classification and Measurement of Financial Instruments</w:t>
      </w:r>
      <w:r>
        <w:rPr>
          <w:rFonts w:ascii="Times New Roman" w:hAnsi="Times New Roman"/>
          <w:color w:val="000000"/>
          <w:sz w:val="20"/>
        </w:rPr>
        <w:t xml:space="preserve"> – Amendments to IFRS 9 </w:t>
      </w:r>
      <w:r>
        <w:rPr>
          <w:rFonts w:ascii="Times New Roman" w:hAnsi="Times New Roman"/>
          <w:i/>
          <w:color w:val="000000"/>
          <w:sz w:val="20"/>
        </w:rPr>
        <w:t>Financial Instruments</w:t>
      </w:r>
      <w:r>
        <w:rPr>
          <w:rFonts w:ascii="Times New Roman" w:hAnsi="Times New Roman"/>
          <w:color w:val="000000"/>
          <w:sz w:val="20"/>
        </w:rPr>
        <w:t xml:space="preserve"> and IFRS 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rFonts w:ascii="Times New Roman" w:hAnsi="Times New Roman"/>
          <w:sz w:val="20"/>
        </w:rPr>
      </w:pPr>
      <w:r>
        <w:rPr>
          <w:rFonts w:ascii="Times New Roman" w:hAnsi="Times New Roman"/>
          <w:i/>
          <w:color w:val="000000"/>
          <w:sz w:val="20"/>
        </w:rPr>
        <w:t>Financial Instruments: Disclosures</w:t>
      </w:r>
      <w:r>
        <w:rPr>
          <w:rFonts w:ascii="Times New Roman" w:hAnsi="Times New Roman"/>
          <w:color w:val="000000"/>
          <w:sz w:val="20"/>
        </w:rPr>
        <w:t xml:space="preserve"> (effective for the accounting periods beginning on or after January 1, 2026).</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Annual Improvements to IFRS Accounting Standards</w:t>
      </w:r>
      <w:r>
        <w:rPr>
          <w:rFonts w:ascii="Times New Roman" w:hAnsi="Times New Roman"/>
          <w:color w:val="000000"/>
          <w:sz w:val="20"/>
        </w:rPr>
        <w:t xml:space="preserve"> (effective January 1, 2026) </w:t>
      </w:r>
    </w:p>
    <w:p>
      <w:pPr>
        <w:pStyle w:val="TextBody"/>
        <w:bidi w:val="0"/>
        <w:spacing w:before="360" w:after="283"/>
        <w:ind w:left="244" w:right="0" w:hanging="0"/>
        <w:jc w:val="both"/>
        <w:rPr>
          <w:rFonts w:ascii="Times New Roman" w:hAnsi="Times New Roman"/>
          <w:sz w:val="20"/>
        </w:rPr>
      </w:pPr>
      <w:r>
        <w:rPr>
          <w:rFonts w:ascii="Times New Roman" w:hAnsi="Times New Roman"/>
          <w:i/>
          <w:color w:val="000000"/>
          <w:sz w:val="20"/>
        </w:rPr>
        <w:t>Accounting standards, interpretations and amendments issued but not yet effective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pronouncements and related amendments are applicable for periods beginning after January 1, 2026, as specified below. The Group has not early adopted the following new or amended accounting standards in preparing these consolidated financial statements.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IFRS 18 </w:t>
      </w:r>
      <w:r>
        <w:rPr>
          <w:rFonts w:ascii="Times New Roman" w:hAnsi="Times New Roman"/>
          <w:b/>
          <w:i/>
          <w:color w:val="000000"/>
          <w:sz w:val="20"/>
        </w:rPr>
        <w:t>Presentation and Disclosure in Financial Statements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IFRS 18 will replace IAS 1 Presentation of Financial Statements and applies for annual reporting periods beginning on or after 1 January 2027. The new accounting standard introduces the following key new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Entities are required to classify all income and expenses into five categories in the statement of consolidated operations, namely the operating, investing, financing, discontinued operations and income tax categories. Entities are also required to present a newly-defined operating profit subtotal. Entities’ net profit will not change.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Management-defined performance measures (MPMs) are to be disclosed in a single note in the financial statements.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all entities are required to use the operating profit subtotal as the starting point for the statement of cash flows when presenting operating cash flows under the indirect method.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is still in the process of assessing the impact of the new accounting standard, particularly with respect to the structure of the Group’s statement of consolidated operations, the statement of consolidated cash flows and the additional disclosures required for MPMs. The Group is also assessing the impact on how information is grouped in the financial statements, including for items currently labelled as ‘other’.</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 accounting standards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new and amended accounting standards are not expected to have significant impact on the Group's consolidated financial statements:</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IFRS 19 </w:t>
      </w:r>
      <w:r>
        <w:rPr>
          <w:rFonts w:ascii="Times New Roman" w:hAnsi="Times New Roman"/>
          <w:i/>
          <w:color w:val="000000"/>
          <w:sz w:val="20"/>
        </w:rPr>
        <w:t>Subsidiaries without Public Accountability: Disclosures</w:t>
      </w:r>
      <w:r>
        <w:rPr>
          <w:rFonts w:ascii="Times New Roman" w:hAnsi="Times New Roman"/>
          <w:color w:val="000000"/>
          <w:sz w:val="20"/>
        </w:rPr>
        <w:t xml:space="preserve"> (issued in April 2024 and effective for accounting periods beginning on or after January 1, 2027)</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Amendments to IAS 21 </w:t>
      </w:r>
      <w:r>
        <w:rPr>
          <w:rFonts w:ascii="Times New Roman" w:hAnsi="Times New Roman"/>
          <w:i/>
          <w:color w:val="000000"/>
          <w:sz w:val="20"/>
        </w:rPr>
        <w:t>The Effects of Changes in Foreign Exchange Rates</w:t>
      </w:r>
      <w:r>
        <w:rPr>
          <w:rFonts w:ascii="Times New Roman" w:hAnsi="Times New Roman"/>
          <w:color w:val="000000"/>
          <w:sz w:val="20"/>
        </w:rPr>
        <w:t xml:space="preserve"> (effective for accounting periods beginning on or after January 1, 2027)</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Amendments to IAS 28 </w:t>
      </w:r>
      <w:r>
        <w:rPr>
          <w:rFonts w:ascii="Times New Roman" w:hAnsi="Times New Roman"/>
          <w:i/>
          <w:color w:val="000000"/>
          <w:sz w:val="20"/>
        </w:rPr>
        <w:t xml:space="preserve">Investments in Associates and Joint Ventures </w:t>
      </w:r>
      <w:r>
        <w:rPr>
          <w:rFonts w:ascii="Times New Roman" w:hAnsi="Times New Roman"/>
          <w:color w:val="000000"/>
          <w:sz w:val="20"/>
        </w:rPr>
        <w:t>(effective for accounting periods beginning on or after January 1, 2027)</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IFRS 20 </w:t>
      </w:r>
      <w:r>
        <w:rPr>
          <w:rFonts w:ascii="Times New Roman" w:hAnsi="Times New Roman"/>
          <w:i/>
          <w:color w:val="000000"/>
          <w:sz w:val="20"/>
        </w:rPr>
        <w:t xml:space="preserve">Regulatory Assets and Regulatory Liabilities </w:t>
      </w:r>
      <w:r>
        <w:rPr>
          <w:rFonts w:ascii="Times New Roman" w:hAnsi="Times New Roman"/>
          <w:color w:val="000000"/>
          <w:sz w:val="20"/>
        </w:rPr>
        <w:t>(effective for accounting periods beginning on or after January 1, 2029)</w:t>
      </w:r>
    </w:p>
    <w:p>
      <w:pPr>
        <w:pStyle w:val="TextBody"/>
        <w:bidi w:val="0"/>
        <w:jc w:val="both"/>
        <w:rPr/>
      </w:pPr>
      <w:r>
        <w:rPr/>
        <w:t> </w:t>
      </w:r>
    </w:p>
    <w:p>
      <w:pPr>
        <w:pStyle w:val="TextBody"/>
        <w:bidi w:val="0"/>
        <w:spacing w:before="360" w:after="283"/>
        <w:ind w:left="244" w:right="0" w:hanging="0"/>
        <w:jc w:val="both"/>
        <w:rPr>
          <w:rFonts w:ascii="Times New Roman" w:hAnsi="Times New Roman"/>
          <w:i/>
          <w:color w:val="000000"/>
          <w:sz w:val="20"/>
        </w:rPr>
      </w:pPr>
      <w:r>
        <w:rPr>
          <w:rFonts w:ascii="Times New Roman" w:hAnsi="Times New Roman"/>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Interim Condensed Consolidated Financial Statements were prepared on a going concern basis.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cash and cash equivalents of $35.6 million and fixed-term bank deposits of $131.1 million as of June 30, 2026 (classified as a current financial asset), the Company believes its cash and cash equivalents, together with such fixed-term deposits will be sufficient to fund its operations for at least twelve months following the date the unaudited interim condensed consolidated financial statements' were approved by our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assessment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use our available capital resources sooner than we currently expect or choose to revise our strategy to extend our cash runway.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2.2 Currency of the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Interim Condensed Consolidated Financial Statements are presented in U.S. dollars, which differs from the functional currency of Cellectis, which is the euro. We believe that this presentation enhances the comparability with peers, which primarily present their financial statements in U.S. dollars.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financial information (unless indicated otherwise) is presented in thousands of U.S. dollars.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2.3 Accounting treatment of transactions with AstraZeneca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present below the accounting treatment applied in the Interim Condensed Consolidated Financial Statements of Cellectis as of and for the six-month period ended June 30, 2026 concerning the collaboration and investment agreements entered into with AstraZeneca Holdings B.V. ("AZ Holdings") and AstraZeneca Ireland Limited ("AZ Ireland") and, together with AZ Holdings and their respective affiliates, "AstraZeneca". The purpose of this note is to bring together information on these transactions and their accounting treatment in the Group's financial statements. It is supplemented by information on the specific financial statement items impacted by these transactions in the notes to the financial statements dedicated to these items hereafter.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 2023, Cellectis and AstraZeneca entered into a Joint Research and Collaboration Agreement (the “AZ JRCA”) and an Initial Investment Agreement ("IIA"). Pursuant to the AZ JRCA, AZ Ireland and Cellectis agreed to collaborate to develop up to 10 novel cell and gene therapy candidate products, selected from a larger pool of potential targets identified by AZ Ireland, for human therapeutic, prophylactic, palliative, and analgesic purposes. Each party is responsible for performing research and development activities based on research plans (each a "Research Plan") to be agreed upon throughout the initial five-year collaboration term under the AZ JRCA.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IIA, on November 6, 2023, AZ Holdings made an initial equity investment of $80 million in Cellectis by subscribing to 16,000,000 ordinary shares at a price of $5.00 per share (the “Initial Investment”). On November 14, 2023, Cellectis and AZ Holdings signed the SIA for an additional equity investment of $140 million ("the Subsequent Investment") by AZ Holdings that was completed on May 3, 2024. The additional investment was made by way of subscription of 10,000,000 “class A” convertible preferred shares and 18,000,000 “class B” convertible preferred shares, in each case at a price of $5.00 per share. Both classes of preferred shares benefit from a liquidation preference and are convertible into ordinary shares with the same rights as the outstanding ordinary shares on a one-for-one basis.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Interdependence of the Initial Investment Agreement and the Subsequent Investment Agreement with the AZ JRCA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IIA and the AZ JRCA were both signed on November 1, 2023, and the SIA was subsequently signed on November 14, 2023. The IIA, SIA and AZ JRCA were negotiated concurrently, and the execution of the IIA was a condition to the signing of the AZ JRCA. In addition, for both the IIA and the SIA, the price per share pursuant to such agreements was set at a level significantly higher than the quoted market price for the Company’s ordinary shares at their respective signing 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Considering all these factors, we concluded that in accordance with IFRS Accounting Standards and for accounting purposes only, the IIA, SIA and AZ JRCA are accounted for as a single transaction as they were not negotiated based upon independently based market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Therefore, in accordance with applicable accounting standards, we allocated a portion of the proceeds received from AZ Holdings under the IIA and the initial fair value of the derivative recognized for the SIA to the AZ JRCA as additional consideration for the services to be rendered under the AZ JRCA, which is recorded as deferred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estimate the portion of the share purchase price that exceeds fair value, we first assessed the fair value of both investment agreements at the date of initial recognition (i.e., on November 1, 2023 for the IIA and on November 14, 2023 for the SIA) and allocated to the AZ JRCA a portion of the share purchase proceeds equal to the difference between this initial fair value determination and the transaction price, i.e. the proceeds. As the proceeds from the SIA were zero at inception on November 14, 2023, the initial fair value of the SIA is allocated in full to the AZ JRCA.</w:t>
      </w:r>
    </w:p>
    <w:p>
      <w:pPr>
        <w:pStyle w:val="TextBody"/>
        <w:bidi w:val="0"/>
        <w:spacing w:before="240" w:after="283"/>
        <w:jc w:val="both"/>
        <w:rPr>
          <w:rFonts w:ascii="Times New Roman" w:hAnsi="Times New Roman"/>
          <w:sz w:val="20"/>
        </w:rPr>
      </w:pPr>
      <w:r>
        <w:rPr>
          <w:rFonts w:ascii="Times New Roman" w:hAnsi="Times New Roman"/>
          <w:color w:val="000000"/>
          <w:sz w:val="20"/>
        </w:rPr>
        <w:t>The fair value of the IIA at the initial recognition date was determined on the basis of Cellectis' share price at the date of signature, and amounted to $44.3 million (</w:t>
      </w:r>
      <w:r>
        <w:rPr>
          <w:rFonts w:ascii="Times New Roman" w:hAnsi="Times New Roman"/>
          <w:i/>
          <w:color w:val="000000"/>
          <w:sz w:val="20"/>
        </w:rPr>
        <w:t>for more details refer to the Consolidated Financial statements as of December 31, 2025</w:t>
      </w:r>
      <w:r>
        <w:rPr>
          <w:rFonts w:ascii="Times New Roman" w:hAnsi="Times New Roman"/>
          <w:color w:val="000000"/>
          <w:sz w:val="20"/>
        </w:rPr>
        <w:t xml:space="preserve">). The initial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fair value of the SIA was estimated to be $48.4 million (</w:t>
      </w:r>
      <w:r>
        <w:rPr>
          <w:rFonts w:ascii="Times New Roman" w:hAnsi="Times New Roman"/>
          <w:i/>
          <w:color w:val="000000"/>
          <w:sz w:val="20"/>
        </w:rPr>
        <w:t>for valuation method details and parameters refer to the Consolidated Financial statements as of December 31, 2025</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applicable IFRS standards, we allocated $35.7 million of the proceeds received from the sale of ordinary shares pursuant to the IIA to the AZ JRCA and $48.4 million, representing the fair value of the derivative pursuant to the SIA to the AZ JRCA.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the additional consideration is fixed from the inception of the IIA and SIA, it is reflected in the AZ JRCA transaction price from inception and initially recorded as deferred revenue totaling $84.1 million. The corresponding income will be recognized as revenue in profit and loss, in accordance with the characteristics of AZ JRCA performance obligations, when satisfied.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treatment of the Subsequent Investment Agreement</w:t>
      </w:r>
    </w:p>
    <w:p>
      <w:pPr>
        <w:pStyle w:val="TextBody"/>
        <w:bidi w:val="0"/>
        <w:spacing w:before="240" w:after="283"/>
        <w:jc w:val="both"/>
        <w:rPr>
          <w:rFonts w:ascii="Times New Roman" w:hAnsi="Times New Roman"/>
          <w:sz w:val="20"/>
        </w:rPr>
      </w:pPr>
      <w:r>
        <w:rPr>
          <w:rFonts w:ascii="Times New Roman" w:hAnsi="Times New Roman"/>
          <w:color w:val="000000"/>
          <w:sz w:val="20"/>
        </w:rPr>
        <w:t>At the signing date of the SIA, the closing of this additional equity investment was subject to the fulfillment of several preceding conditions. This contract met all derivatives criteria and was recognized according to the principles of IFRS 9, under which the derivative instrument was recognized at its fair value with any subsequent change of fair value recognized in profit and loss</w:t>
      </w:r>
      <w:r>
        <w:rPr>
          <w:rFonts w:ascii="Times New Roman" w:hAnsi="Times New Roman"/>
          <w:i/>
          <w:color w:val="000000"/>
          <w:sz w:val="20"/>
        </w:rPr>
        <w:t>.</w:t>
      </w:r>
      <w:r>
        <w:rPr>
          <w:rFonts w:ascii="Times New Roman" w:hAnsi="Times New Roman"/>
          <w:color w:val="000000"/>
          <w:sz w:val="20"/>
        </w:rPr>
        <w:t xml:space="preserve"> On May 3, 2024, the cash received following the additional investment has been recognized on the balance sheet, the derivative has been derecognized, and any difference between the cash received and the fair value of the derivative at closing date has been recognized against share premium and share capital.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At initial recognition, the fair-value of the derivative was $48.4 million. The fair value of this instrument was remeasured on December 31, 2023 and on May 3, 2024 and respectively amounted to $42.7 million and $57.0 million (for details refer to the </w:t>
      </w:r>
      <w:r>
        <w:rPr>
          <w:rFonts w:ascii="Times New Roman" w:hAnsi="Times New Roman"/>
          <w:i/>
          <w:color w:val="000000"/>
          <w:sz w:val="20"/>
        </w:rPr>
        <w:t xml:space="preserve">Consolidated Financial statements as of December 31, 2024). </w:t>
      </w:r>
      <w:r>
        <w:rPr>
          <w:rFonts w:ascii="Times New Roman" w:hAnsi="Times New Roman"/>
          <w:color w:val="000000"/>
          <w:sz w:val="20"/>
        </w:rPr>
        <w:t>The difference in fair value measurement of $14.3 million between December 31, 2023 and May 3, 2024 was recognized in financial income in profit and loss in 2024. The payment of $57.0 million was recorded in 2024 on the statement of consolidated cash flows in "Decrease (increase) in trade receivables and other current assets" as part of cash flows from operating activities.</w:t>
      </w:r>
    </w:p>
    <w:p>
      <w:pPr>
        <w:pStyle w:val="TextBody"/>
        <w:bidi w:val="0"/>
        <w:spacing w:before="240" w:after="283"/>
        <w:jc w:val="both"/>
        <w:rPr>
          <w:rFonts w:ascii="Times New Roman" w:hAnsi="Times New Roman"/>
          <w:sz w:val="20"/>
        </w:rPr>
      </w:pPr>
      <w:r>
        <w:rPr>
          <w:rFonts w:ascii="Times New Roman" w:hAnsi="Times New Roman"/>
          <w:i/>
          <w:color w:val="000000"/>
          <w:sz w:val="20"/>
        </w:rPr>
        <w:t>Analysis of the Joint Research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an upfront payment of $25 million made by AZ Ireland to Cellectis under the AZ JRCA, AZ Ireland agreed to reimburse Cellectis for its budgeted research costs associated with targets identified under the AZ JRCA. Cellectis is also eligible to receive an option exercise fee and development, regulatory and sales-related milestone payments, plus tiered royalties based on the sale of Licensed Products (as defined in the AZ JRCA).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17, 2025, AZ Ireland and Cellectis entered into an amendment to the JRCA to prospectively change the structure of the milestone payments, leading to an aggregate amount of up to $80 million to up to $253 million per each of the 10 candidate products (vs. up to $70 million to up to $220 million per candidate products previously).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analysis of the AZ JRCA under IFRS 15 requirements, we concluded that the $25 million upfront payment is to be included in the transaction price at contract inception and allocated to each research activity performance on a reasonable basis.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Analysis of Cellectis' performance obligations under the Joint Research Collaboration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consider Cellectis renders two promises under each of the Research Plans. In particular, Cellectis and AZ Ireland enter into (i) a service component in the form of delegated research activities, and (ii) a license component in the form of an option to license over the intellectual property created as part of the AZ JRCA, granted by Cellectis to AZ Ireland if AZ Ireland exercises its option. Both components are essential and highly inter-related, and therefore represent a combined performance obligation.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combined performance obligation is satisfied over time because, subject to the terms of the AZ JRCA, AZ Ireland has an exclusive right over intellectual property created as part of each Research Plan. As a consequence, Cellectis would not have rights over such intellectual property and therefore no alternative use outside of the performance of the Research Plan, and Cellectis has an enforceable right to payment for performance completed to date. </w:t>
      </w:r>
    </w:p>
    <w:p>
      <w:pPr>
        <w:pStyle w:val="TextBody"/>
        <w:bidi w:val="0"/>
        <w:spacing w:before="240" w:after="283"/>
        <w:jc w:val="both"/>
        <w:rPr>
          <w:rFonts w:ascii="Times New Roman" w:hAnsi="Times New Roman"/>
          <w:sz w:val="16"/>
        </w:rPr>
      </w:pPr>
      <w:r>
        <w:rPr>
          <w:rFonts w:ascii="Times New Roman" w:hAnsi="Times New Roman"/>
          <w:color w:val="000000"/>
          <w:sz w:val="20"/>
        </w:rPr>
        <w:t>Cellectis’ obligation to generate intellectual property over which AZ Ireland will have exclusive right is limited to the Research Plan activities and there will be no further research activities after completion of each Research Plan.</w:t>
      </w:r>
      <w:r>
        <w:rPr>
          <w:rFonts w:ascii="Times New Roman" w:hAnsi="Times New Roman"/>
          <w:color w:val="000000"/>
          <w:sz w:val="16"/>
        </w:rPr>
        <w:t xml:space="preserve"> </w:t>
      </w:r>
      <w:r>
        <w:rPr>
          <w:rFonts w:ascii="Times New Roman" w:hAnsi="Times New Roman"/>
          <w:color w:val="000000"/>
          <w:sz w:val="20"/>
        </w:rPr>
        <w:t>Therefore, the combined performance obligation under a Research Plan is satisfied over the Research Plan term, i.e. over the period during which Cellectis will render the research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each Research Plan, we measure the progress of our performance obligation based on research costs incurred in relation to the total costs budgeted for that Research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allocating upfront payments totaling $109.1 million, i.e. the AZ JRCA upfront payment of $25.0 million, the IIA upfront payment of $35.7 million and the initial fair value of the SIA derivative of $48.4 million, to each of the Research Plans on a reasonable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evaluate the transaction price allocated to each Research Plan at each period-end, including variable elements in the transaction price only if it is highly probable that a significant reversal will not occur, and taking into account the share of upfront payments allocated to each Research Plan. We apply to this total the percentage of completion estimated as described above to determine the revenue to be recognized in profit and loss for each Research Plan.</w:t>
      </w:r>
    </w:p>
    <w:p>
      <w:pPr>
        <w:pStyle w:val="TextBody"/>
        <w:bidi w:val="0"/>
        <w:jc w:val="left"/>
        <w:rPr/>
      </w:pPr>
      <w:r>
        <w:rPr/>
        <w:t> </w:t>
      </w:r>
    </w:p>
    <w:p>
      <w:pPr>
        <w:pStyle w:val="TextBody"/>
        <w:bidi w:val="0"/>
        <w:spacing w:before="240" w:after="283"/>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 Scope of consolidation and non-consolidated entities</w:t>
      </w:r>
      <w:r>
        <w:rPr>
          <w:rFonts w:ascii="Times New Roman" w:hAnsi="Times New Roman"/>
          <w:color w:val="000000"/>
          <w:sz w:val="20"/>
        </w:rPr>
        <w:t xml:space="preserve"> </w:t>
      </w:r>
    </w:p>
    <w:p>
      <w:pPr>
        <w:pStyle w:val="TextBody"/>
        <w:bidi w:val="0"/>
        <w:spacing w:before="120" w:after="283"/>
        <w:ind w:left="245" w:right="0" w:hanging="0"/>
        <w:jc w:val="left"/>
        <w:rPr>
          <w:rFonts w:ascii="Times New Roman" w:hAnsi="Times New Roman"/>
          <w:sz w:val="20"/>
        </w:rPr>
      </w:pPr>
      <w:r>
        <w:rPr>
          <w:rFonts w:ascii="Times New Roman" w:hAnsi="Times New Roman"/>
          <w:i/>
          <w:color w:val="000000"/>
          <w:sz w:val="20"/>
        </w:rPr>
        <w:t>Consolidated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Cellectis S.A. owns 100% of Cellectis, Inc., which owns 100% of Cellectis Biologics,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six-month periods ended June 30, 2026 and June 30, 2025, the consolidated group of companies (sometimes referred to as the “Group”) includes Cellectis S.A., Cellectis, Inc. and Cellectis Biologics, Inc.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Investments in associates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hold 17.0% of Primera’s shares and voting rights and consider that we continue to exercise significant influence over Primera. After taking into account Primera’s net loss since May 17, 2023 (date we began to have significant influence) and applying our ownership rate, the value of our investment is immaterial. We have no legal or contractual obligation to bear losses in excess of our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view of the immaterial value of our investment in Primera at inception and as of June 30, 2026, we do not present the investment in associates on a separate line in our consolidated statements of financial position or our consolidated statements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Note 4. Information concerning the Group’s Consolidated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4.1 Revenues and other income</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4.1.1 For the six-month period ended June 30</w:t>
      </w:r>
    </w:p>
    <w:p>
      <w:pPr>
        <w:pStyle w:val="TextBody"/>
        <w:bidi w:val="0"/>
        <w:spacing w:before="240" w:after="283"/>
        <w:ind w:left="244" w:right="0" w:hanging="0"/>
        <w:jc w:val="left"/>
        <w:rPr>
          <w:rFonts w:ascii="Times New Roman" w:hAnsi="Times New Roman"/>
          <w:sz w:val="20"/>
        </w:rPr>
      </w:pPr>
      <w:r>
        <w:rPr>
          <w:rFonts w:ascii="Times New Roman" w:hAnsi="Times New Roman"/>
          <w:i/>
          <w:color w:val="000000"/>
          <w:sz w:val="20"/>
        </w:rPr>
        <w:t>Revenues by nature</w:t>
      </w:r>
      <w:r>
        <w:rPr>
          <w:rFonts w:ascii="Times New Roman" w:hAnsi="Times New Roman"/>
          <w:color w:val="000000"/>
          <w:sz w:val="20"/>
        </w:rPr>
        <w:t xml:space="preserve"> </w:t>
      </w:r>
    </w:p>
    <w:tbl>
      <w:tblPr>
        <w:tblW w:w="5271" w:type="dxa"/>
        <w:jc w:val="left"/>
        <w:tblInd w:w="0" w:type="dxa"/>
        <w:tblLayout w:type="fixed"/>
        <w:tblCellMar>
          <w:top w:w="28" w:type="dxa"/>
          <w:left w:w="28" w:type="dxa"/>
          <w:bottom w:w="28" w:type="dxa"/>
          <w:right w:w="28" w:type="dxa"/>
        </w:tblCellMar>
      </w:tblPr>
      <w:tblGrid>
        <w:gridCol w:w="2321"/>
        <w:gridCol w:w="285"/>
        <w:gridCol w:w="169"/>
        <w:gridCol w:w="783"/>
        <w:gridCol w:w="285"/>
        <w:gridCol w:w="285"/>
        <w:gridCol w:w="169"/>
        <w:gridCol w:w="783"/>
        <w:gridCol w:w="191"/>
      </w:tblGrid>
      <w:tr>
        <w:trPr/>
        <w:tc>
          <w:tcPr>
            <w:tcW w:w="23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agreements</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Licenses</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 &amp; services</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revenues</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27,380</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240" w:after="283"/>
        <w:ind w:left="244" w:right="0" w:hanging="0"/>
        <w:jc w:val="left"/>
        <w:rPr>
          <w:rFonts w:ascii="Times New Roman" w:hAnsi="Times New Roman"/>
          <w:i/>
          <w:color w:val="000000"/>
          <w:sz w:val="20"/>
        </w:rPr>
      </w:pPr>
      <w:r>
        <w:rPr>
          <w:rFonts w:ascii="Times New Roman" w:hAnsi="Times New Roman"/>
          <w:i/>
          <w:color w:val="000000"/>
          <w:sz w:val="20"/>
        </w:rPr>
        <w:t>Revenues by country of origin and other income</w:t>
      </w:r>
    </w:p>
    <w:tbl>
      <w:tblPr>
        <w:tblW w:w="5946" w:type="dxa"/>
        <w:jc w:val="left"/>
        <w:tblInd w:w="0" w:type="dxa"/>
        <w:tblLayout w:type="fixed"/>
        <w:tblCellMar>
          <w:top w:w="28" w:type="dxa"/>
          <w:left w:w="28" w:type="dxa"/>
          <w:bottom w:w="28" w:type="dxa"/>
          <w:right w:w="28" w:type="dxa"/>
        </w:tblCellMar>
      </w:tblPr>
      <w:tblGrid>
        <w:gridCol w:w="2996"/>
        <w:gridCol w:w="285"/>
        <w:gridCol w:w="169"/>
        <w:gridCol w:w="783"/>
        <w:gridCol w:w="285"/>
        <w:gridCol w:w="285"/>
        <w:gridCol w:w="169"/>
        <w:gridCol w:w="783"/>
        <w:gridCol w:w="191"/>
      </w:tblGrid>
      <w:tr>
        <w:trPr/>
        <w:tc>
          <w:tcPr>
            <w:tcW w:w="29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From France</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Revenues</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27,380</w:t>
            </w:r>
          </w:p>
        </w:tc>
        <w:tc>
          <w:tcPr>
            <w:tcW w:w="28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tax credit subsidy</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subsidies and other</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Other income</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2,842</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revenues and other income</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30,222</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were $11.0 million for the six-month period ended June 30, 2026, primarily reflecting the recognition of $10.7 million related to performance obligations satisfied under the Research Plans of the AZ JRCA with AZ Ireland, compared with $26.9 million recognized during the corresponding period in 2025. The $16.4 million decrease in revenues was primarily driven by the level of activities performed under the Research Plans during the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recognized in respect of each Research Plan with AZ Ireland has been estimated in accordance with the provisions set out in Note 2.3. We have estimated the progress of our performance obligation on the basis of costs incurred to date compared with total budgeted costs for each Research Plan. We applied a percentage of completion thus obtained to the total transaction price allocated to each Research Plan, excluding variable remuneration for which it is not highly probable that a significant reversal will not occur. As of June 30, 2026, the transaction price allocated to each Research Plan excluding variable remuneration for which it is not highly probable that a significant reversal will not occur, corresponds to the development milestone already achieved, the amount of rechargeable costs in accordance with the agreement, and the share of upfront payments allocated to each Research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$0.6 million increase in other income between the six-month periods ended June 30, 2025 and 2026 was primarily attributable to a higher research tax credit resulting from increased eligible R&amp;D expenses, as well as favorable foreign exchange effects.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4.1.2 For the three-month period ended June 30</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by nature</w:t>
      </w:r>
    </w:p>
    <w:tbl>
      <w:tblPr>
        <w:tblW w:w="5651" w:type="dxa"/>
        <w:jc w:val="left"/>
        <w:tblInd w:w="0" w:type="dxa"/>
        <w:tblLayout w:type="fixed"/>
        <w:tblCellMar>
          <w:top w:w="28" w:type="dxa"/>
          <w:left w:w="28" w:type="dxa"/>
          <w:bottom w:w="28" w:type="dxa"/>
          <w:right w:w="28" w:type="dxa"/>
        </w:tblCellMar>
      </w:tblPr>
      <w:tblGrid>
        <w:gridCol w:w="2321"/>
        <w:gridCol w:w="246"/>
        <w:gridCol w:w="208"/>
        <w:gridCol w:w="963"/>
        <w:gridCol w:w="350"/>
        <w:gridCol w:w="350"/>
        <w:gridCol w:w="208"/>
        <w:gridCol w:w="814"/>
        <w:gridCol w:w="191"/>
      </w:tblGrid>
      <w:tr>
        <w:trPr/>
        <w:tc>
          <w:tcPr>
            <w:tcW w:w="2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agreements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 &amp;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16,725</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by country of origin and other income</w:t>
      </w:r>
    </w:p>
    <w:tbl>
      <w:tblPr>
        <w:tblW w:w="6127" w:type="dxa"/>
        <w:jc w:val="left"/>
        <w:tblInd w:w="0" w:type="dxa"/>
        <w:tblLayout w:type="fixed"/>
        <w:tblCellMar>
          <w:top w:w="28" w:type="dxa"/>
          <w:left w:w="28" w:type="dxa"/>
          <w:bottom w:w="28" w:type="dxa"/>
          <w:right w:w="28" w:type="dxa"/>
        </w:tblCellMar>
      </w:tblPr>
      <w:tblGrid>
        <w:gridCol w:w="2896"/>
        <w:gridCol w:w="146"/>
        <w:gridCol w:w="206"/>
        <w:gridCol w:w="954"/>
        <w:gridCol w:w="375"/>
        <w:gridCol w:w="347"/>
        <w:gridCol w:w="206"/>
        <w:gridCol w:w="80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From 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w:t>
            </w:r>
          </w:p>
        </w:tc>
        <w:tc>
          <w:tcPr>
            <w:tcW w:w="3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16,725</w:t>
            </w:r>
          </w:p>
        </w:tc>
        <w:tc>
          <w:tcPr>
            <w:tcW w:w="37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5,229</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3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1,469</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18,193</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4.2 Operating expenses</w:t>
      </w:r>
    </w:p>
    <w:p>
      <w:pPr>
        <w:pStyle w:val="TextBody"/>
        <w:bidi w:val="0"/>
        <w:spacing w:before="360" w:after="283"/>
        <w:jc w:val="left"/>
        <w:rPr>
          <w:rFonts w:ascii="Times New Roman" w:hAnsi="Times New Roman"/>
          <w:sz w:val="20"/>
        </w:rPr>
      </w:pPr>
      <w:r>
        <w:rPr>
          <w:rFonts w:ascii="Times New Roman" w:hAnsi="Times New Roman"/>
          <w:i/>
          <w:color w:val="000000"/>
          <w:sz w:val="20"/>
        </w:rPr>
        <w:t>4.2.1 For the six-month period ended June 30</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9111" w:type="dxa"/>
        <w:jc w:val="left"/>
        <w:tblInd w:w="0" w:type="dxa"/>
        <w:tblLayout w:type="fixed"/>
        <w:tblCellMar>
          <w:top w:w="28" w:type="dxa"/>
          <w:left w:w="28" w:type="dxa"/>
          <w:bottom w:w="28" w:type="dxa"/>
          <w:right w:w="28" w:type="dxa"/>
        </w:tblCellMar>
      </w:tblPr>
      <w:tblGrid>
        <w:gridCol w:w="6041"/>
        <w:gridCol w:w="269"/>
        <w:gridCol w:w="159"/>
        <w:gridCol w:w="806"/>
        <w:gridCol w:w="291"/>
        <w:gridCol w:w="269"/>
        <w:gridCol w:w="159"/>
        <w:gridCol w:w="806"/>
        <w:gridCol w:w="311"/>
      </w:tblGrid>
      <w:tr>
        <w:trPr/>
        <w:tc>
          <w:tcPr>
            <w:tcW w:w="60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Wages and salaries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and external expenses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Wages and salaries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and external expenses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Wages and salaries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(23,460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Other operating income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six-month period ended June 30, 2026, research and development expenses increased by $7.2 million compared with the corresponding period in 2025. This increase was primarily driven by (i) a $4.5 million increase in personnel expenses, reflecting changes in our R&amp;D headcount and higher stock-based compensation expense associated with awards granted in 2026, whose grant-date fair value increased due to a higher underlying share price, and (ii) a $3.7 million increase in purchases and external expenses, mainly attributable to higher clinical development costs related to our BALLI-01 and NATHALI-01 studies. These increases were partially offset by a $1.0 million decrease in depreciation and amortization expenses, primarily attributable to the expiration in January 2026 of the contractual lease term for equipment at our Raleigh manufacturing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 the same period, selling, general and administrative expenses increased by $1.5 million mainly due to higher stock-based compensation expense resulting from awards granted in 2026, whose grant-date fair value increased due to a higher underlying share price.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4.2.2 For the three-month period ended June 30</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5941"/>
        <w:gridCol w:w="146"/>
        <w:gridCol w:w="185"/>
        <w:gridCol w:w="936"/>
        <w:gridCol w:w="338"/>
        <w:gridCol w:w="313"/>
        <w:gridCol w:w="185"/>
        <w:gridCol w:w="936"/>
        <w:gridCol w:w="3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(9,741</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and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(23,080</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(24,976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(2,061</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and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(5,078</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charges on stock option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(11,802</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(13,330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three-month period ended June 30, 2026, research and development expenses increased by $1.9 million compared with the corresponding period in 2025. This increase was primarily driven by (i) a $1.7 million increase in purchases and external expenses, and (ii) a $0.8 million increase in personnel expenses mainly attributable to higher stock-based compensation expense associated with awards granted in 2026, whose grant-date fair value increased due to a higher underlying share price. These increases were partially offset by a $0.6 million decrease in depreciation and amortization expenses, primarily attributable to the expiration in January 2026 of the contractual lease term for equipment at our Raleigh manufacturing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 the same period, selling, general and administrative expenses increased by $0.7 million mainly due to higher stock-based compensation expense resulting from awards granted in 2026, whose grant-date fair value increased due to higher underlying share price.</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4.3 Financial income and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4.3.1 For the six-month period ended June 30</w:t>
      </w:r>
    </w:p>
    <w:p>
      <w:pPr>
        <w:pStyle w:val="TextBody"/>
        <w:bidi w:val="0"/>
        <w:jc w:val="left"/>
        <w:rPr/>
      </w:pPr>
      <w:r>
        <w:rPr/>
        <w:t> </w:t>
      </w:r>
    </w:p>
    <w:tbl>
      <w:tblPr>
        <w:tblW w:w="8319" w:type="dxa"/>
        <w:jc w:val="left"/>
        <w:tblInd w:w="0" w:type="dxa"/>
        <w:tblLayout w:type="fixed"/>
        <w:tblCellMar>
          <w:top w:w="28" w:type="dxa"/>
          <w:left w:w="28" w:type="dxa"/>
          <w:bottom w:w="28" w:type="dxa"/>
          <w:right w:w="28" w:type="dxa"/>
        </w:tblCellMar>
      </w:tblPr>
      <w:tblGrid>
        <w:gridCol w:w="5351"/>
        <w:gridCol w:w="275"/>
        <w:gridCol w:w="163"/>
        <w:gridCol w:w="825"/>
        <w:gridCol w:w="298"/>
        <w:gridCol w:w="275"/>
        <w:gridCol w:w="163"/>
        <w:gridCol w:w="758"/>
        <w:gridCol w:w="211"/>
      </w:tblGrid>
      <w:tr>
        <w:trPr/>
        <w:tc>
          <w:tcPr>
            <w:tcW w:w="53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income and expenses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from cash, cash equivalents and financial assets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fair value measurement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income</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income</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11,578</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financial liabilities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losses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(25,527</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fair value measurement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expenses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expenses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(29,675</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financial gain (loss)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(18,098</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the six-month periods ended June 30, 2025 and 2026, the net financial gain (loss) improved by $27.3 million, from a net financial loss of $18.1 million to a net financial gain of $9.2 million, due to a $5.0 million increase in financial income and a $22.3 million decrease in financial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$5.0 million increase in financial income was primarily attributable to (i) a $7.0 million increase in non-cash gains recognized from fair value measurements, mainly reflecting an $8.7 million gain on the fair value measurement of the Tranche A, B and C warrants issued to the European Investment Bank ("EIB") (see note 12) in the six months ended June 30, 2026, compared with a $1.2 million gain in the same period in 2025, partially offset by (ii) a $1.7 million decrease in interest income earned on cash, cash equivalents and financial assets, and (iii) a $0.4 million decrease in foreign exchange gains.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$22.3 million decrease in financial expenses was primarily attributable to a $22.8 million decrease in foreign exchange losses, mainly resulting from the appreciation of the US dollar against the euro.</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4.3.2 For the three-month period ended June 30</w:t>
      </w:r>
    </w:p>
    <w:p>
      <w:pPr>
        <w:pStyle w:val="TextBody"/>
        <w:bidi w:val="0"/>
        <w:spacing w:before="240" w:after="283"/>
        <w:jc w:val="left"/>
        <w:rPr/>
      </w:pPr>
      <w:r>
        <w:rPr/>
        <w:t> </w:t>
      </w:r>
    </w:p>
    <w:tbl>
      <w:tblPr>
        <w:tblW w:w="8700" w:type="dxa"/>
        <w:jc w:val="left"/>
        <w:tblInd w:w="0" w:type="dxa"/>
        <w:tblLayout w:type="fixed"/>
        <w:tblCellMar>
          <w:top w:w="28" w:type="dxa"/>
          <w:left w:w="28" w:type="dxa"/>
          <w:bottom w:w="28" w:type="dxa"/>
          <w:right w:w="28" w:type="dxa"/>
        </w:tblCellMar>
      </w:tblPr>
      <w:tblGrid>
        <w:gridCol w:w="5351"/>
        <w:gridCol w:w="246"/>
        <w:gridCol w:w="194"/>
        <w:gridCol w:w="981"/>
        <w:gridCol w:w="354"/>
        <w:gridCol w:w="328"/>
        <w:gridCol w:w="194"/>
        <w:gridCol w:w="841"/>
        <w:gridCol w:w="211"/>
      </w:tblGrid>
      <w:tr>
        <w:trPr/>
        <w:tc>
          <w:tcPr>
            <w:tcW w:w="53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income and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from cash, cash equivalents and financial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fair value measurement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5,545</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financial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losses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(17,358</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fair value measurement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(19,695</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financial gain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(14,150</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$0.8 million decrease in financial income between the three-month periods ended June 30, 2025 and 2026 was mainly attributable to a $2.4 million decrease in foreign exchange gains and a $0.6 million decrease in interest income from cash, cash equivalents and financial assets, partially offset by a $2.3 million gain recognized from the fair value measurement of the Tranche A, B and C warrants issued to the European Investment Bank ("EIB") (see note 12).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$16.7 million decrease in financial expenses over the same period was mainly attributable to a $16.4 million decrease in foreign exchange losses, primarily resulting from the appreciation of the US dollar against the euro.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4.4 Income tax</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4.4.1 For the six-month period ended June 30</w:t>
      </w:r>
    </w:p>
    <w:p>
      <w:pPr>
        <w:pStyle w:val="TextBody"/>
        <w:bidi w:val="0"/>
        <w:jc w:val="left"/>
        <w:rPr/>
      </w:pPr>
      <w:r>
        <w:rPr/>
        <w:t> </w:t>
      </w:r>
    </w:p>
    <w:tbl>
      <w:tblPr>
        <w:tblW w:w="3943" w:type="dxa"/>
        <w:jc w:val="left"/>
        <w:tblInd w:w="0" w:type="dxa"/>
        <w:tblLayout w:type="fixed"/>
        <w:tblCellMar>
          <w:top w:w="28" w:type="dxa"/>
          <w:left w:w="28" w:type="dxa"/>
          <w:bottom w:w="28" w:type="dxa"/>
          <w:right w:w="28" w:type="dxa"/>
        </w:tblCellMar>
      </w:tblPr>
      <w:tblGrid>
        <w:gridCol w:w="976"/>
        <w:gridCol w:w="316"/>
        <w:gridCol w:w="316"/>
        <w:gridCol w:w="425"/>
        <w:gridCol w:w="316"/>
        <w:gridCol w:w="316"/>
        <w:gridCol w:w="316"/>
        <w:gridCol w:w="751"/>
        <w:gridCol w:w="211"/>
      </w:tblGrid>
      <w:tr>
        <w:trPr/>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tax</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income tax for the six-month period ended June 30 is calculated by applying the estimated effective tax rate for the fiscal year to pre-tax net income or loss for the six-month period ended June 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income tax rate for the six-month period ended June 30, 2026 is -0.2%, compared with 0.0% for the six-month period ended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4.4.2 For the three-month period ended June 30</w:t>
      </w:r>
    </w:p>
    <w:p>
      <w:pPr>
        <w:pStyle w:val="TextBody"/>
        <w:bidi w:val="0"/>
        <w:jc w:val="left"/>
        <w:rPr/>
      </w:pPr>
      <w:r>
        <w:rPr/>
        <w:t> </w:t>
      </w:r>
    </w:p>
    <w:tbl>
      <w:tblPr>
        <w:tblW w:w="4080" w:type="dxa"/>
        <w:jc w:val="left"/>
        <w:tblInd w:w="0" w:type="dxa"/>
        <w:tblLayout w:type="fixed"/>
        <w:tblCellMar>
          <w:top w:w="28" w:type="dxa"/>
          <w:left w:w="28" w:type="dxa"/>
          <w:bottom w:w="28" w:type="dxa"/>
          <w:right w:w="28" w:type="dxa"/>
        </w:tblCellMar>
      </w:tblPr>
      <w:tblGrid>
        <w:gridCol w:w="976"/>
        <w:gridCol w:w="332"/>
        <w:gridCol w:w="332"/>
        <w:gridCol w:w="446"/>
        <w:gridCol w:w="332"/>
        <w:gridCol w:w="332"/>
        <w:gridCol w:w="332"/>
        <w:gridCol w:w="787"/>
        <w:gridCol w:w="211"/>
      </w:tblGrid>
      <w:tr>
        <w:trPr/>
        <w:tc>
          <w:tcPr>
            <w:tcW w:w="9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tax</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5. Impairment tests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Accounting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Amortizable intangible assets, depreciable tangible assets and right-of-use are tested for impairment when there is an indicator of impairment. Whenever possible, impairment tests involve comparing the carrying amount of the assets on a standalone-basis with the recoverable amount. When it is not possible to perform the impairment test at the individual asset level, the test is conducted at the level of the Company's cash-generating unit (CGU). The recoverable amount of an asset or a CGU is the higher of (i) its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less costs of disposal and (ii) its value in use. If the recoverable amount of any asset or CGU is below its carrying amount, an impairment loss is recognized to reduce the carrying amount to the recoverable amount.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has a single CGU corresponding to the Therapeutic segment.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indicator of impairment has been identified for any intangible or tangible assets for the six-month periods ended June 30, 2026 and June 30, 2025.</w:t>
      </w:r>
    </w:p>
    <w:p>
      <w:pPr>
        <w:pStyle w:val="TextBody"/>
        <w:bidi w:val="0"/>
        <w:spacing w:before="360" w:after="283"/>
        <w:jc w:val="both"/>
        <w:rPr>
          <w:rFonts w:ascii="Times New Roman" w:hAnsi="Times New Roman"/>
          <w:sz w:val="20"/>
        </w:rPr>
      </w:pPr>
      <w:r>
        <w:rPr>
          <w:rFonts w:ascii="Times New Roman" w:hAnsi="Times New Roman"/>
          <w:b/>
          <w:color w:val="000000"/>
          <w:sz w:val="20"/>
        </w:rPr>
        <w:t>Note 6. Right-of-use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Details of Right-of-use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provision of IFRS 16 “Leases”, the Company recognizes a right of use asset and lease liability on the statement of financial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breakdown of right-of-use assets is as follows: </w:t>
      </w:r>
    </w:p>
    <w:tbl>
      <w:tblPr>
        <w:tblW w:w="10205" w:type="dxa"/>
        <w:jc w:val="left"/>
        <w:tblInd w:w="0" w:type="dxa"/>
        <w:tblLayout w:type="fixed"/>
        <w:tblCellMar>
          <w:top w:w="28" w:type="dxa"/>
          <w:left w:w="28" w:type="dxa"/>
          <w:bottom w:w="28" w:type="dxa"/>
          <w:right w:w="28" w:type="dxa"/>
        </w:tblCellMar>
      </w:tblPr>
      <w:tblGrid>
        <w:gridCol w:w="4742"/>
        <w:gridCol w:w="146"/>
        <w:gridCol w:w="169"/>
        <w:gridCol w:w="857"/>
        <w:gridCol w:w="266"/>
        <w:gridCol w:w="246"/>
        <w:gridCol w:w="359"/>
        <w:gridCol w:w="1812"/>
        <w:gridCol w:w="266"/>
        <w:gridCol w:w="246"/>
        <w:gridCol w:w="146"/>
        <w:gridCol w:w="736"/>
        <w:gridCol w:w="214"/>
      </w:tblGrid>
      <w:tr>
        <w:trPr/>
        <w:tc>
          <w:tcPr>
            <w:tcW w:w="4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Building lease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Office and laboratory equipment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24,287</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3,097</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27,383</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21,757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23,658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19,004</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8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19,196</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Property, plant and equipment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365"/>
        <w:gridCol w:w="146"/>
        <w:gridCol w:w="174"/>
        <w:gridCol w:w="878"/>
        <w:gridCol w:w="266"/>
        <w:gridCol w:w="246"/>
        <w:gridCol w:w="172"/>
        <w:gridCol w:w="868"/>
        <w:gridCol w:w="266"/>
        <w:gridCol w:w="246"/>
        <w:gridCol w:w="239"/>
        <w:gridCol w:w="1038"/>
        <w:gridCol w:w="266"/>
        <w:gridCol w:w="246"/>
        <w:gridCol w:w="230"/>
        <w:gridCol w:w="905"/>
        <w:gridCol w:w="266"/>
        <w:gridCol w:w="246"/>
        <w:gridCol w:w="146"/>
        <w:gridCol w:w="781"/>
        <w:gridCol w:w="215"/>
      </w:tblGrid>
      <w:tr>
        <w:trPr/>
        <w:tc>
          <w:tcPr>
            <w:tcW w:w="2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Lands and Buildings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Technical equipment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Fixtures, fittings and other equipment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Assets under construction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38,123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45,895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6,300</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34,717</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1,106</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42,790</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30,938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38,788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28,084</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1,270</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34,797</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Non-current financial assets and other non-current assets</w:t>
      </w:r>
    </w:p>
    <w:tbl>
      <w:tblPr>
        <w:tblW w:w="5675" w:type="dxa"/>
        <w:jc w:val="left"/>
        <w:tblInd w:w="0" w:type="dxa"/>
        <w:tblLayout w:type="fixed"/>
        <w:tblCellMar>
          <w:top w:w="28" w:type="dxa"/>
          <w:left w:w="28" w:type="dxa"/>
          <w:bottom w:w="28" w:type="dxa"/>
          <w:right w:w="28" w:type="dxa"/>
        </w:tblCellMar>
      </w:tblPr>
      <w:tblGrid>
        <w:gridCol w:w="2476"/>
        <w:gridCol w:w="146"/>
        <w:gridCol w:w="237"/>
        <w:gridCol w:w="1098"/>
        <w:gridCol w:w="246"/>
        <w:gridCol w:w="246"/>
        <w:gridCol w:w="184"/>
        <w:gridCol w:w="85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20,025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our non-current restricted cash primarily consisted of $2.0 million related to our leased premises in Raleigh and $0.2 million for our leased premises in New York. The $0.2 million decrease since December 31, 2025 was mainly due to the reclassification of a portion of our restricted cash related to our leased premises in Raleigh to current financial assets (see Note 11).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other financial assets primarily related to our net investment in the partial sublease of our premises in New York, which is accounted for as a finance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non-current assets consist of research tax credit receivables, which are expected to be recovered after a three-year period following their initial recognition. The $2.7 million increase in non-current research tax credit receivables was primarily attributable to the Research tax credit income recognized during the six months ended June 30, 2026 (see Note 4.1), partially offset by an unfavorable foreign exchange rate impact of $0.7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 Trade receivables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9.1 Trade receivables</w:t>
      </w:r>
      <w:r>
        <w:rPr>
          <w:rFonts w:ascii="Times New Roman" w:hAnsi="Times New Roman"/>
          <w:color w:val="000000"/>
          <w:sz w:val="20"/>
        </w:rPr>
        <w:t xml:space="preserve"> </w:t>
      </w:r>
    </w:p>
    <w:p>
      <w:pPr>
        <w:pStyle w:val="TextBody"/>
        <w:bidi w:val="0"/>
        <w:spacing w:before="120" w:after="283"/>
        <w:jc w:val="left"/>
        <w:rPr/>
      </w:pPr>
      <w:r>
        <w:rPr/>
        <w:t> </w:t>
      </w:r>
    </w:p>
    <w:tbl>
      <w:tblPr>
        <w:tblW w:w="6305" w:type="dxa"/>
        <w:jc w:val="left"/>
        <w:tblInd w:w="0" w:type="dxa"/>
        <w:tblLayout w:type="fixed"/>
        <w:tblCellMar>
          <w:top w:w="28" w:type="dxa"/>
          <w:left w:w="28" w:type="dxa"/>
          <w:bottom w:w="28" w:type="dxa"/>
          <w:right w:w="28" w:type="dxa"/>
        </w:tblCellMar>
      </w:tblPr>
      <w:tblGrid>
        <w:gridCol w:w="3106"/>
        <w:gridCol w:w="146"/>
        <w:gridCol w:w="237"/>
        <w:gridCol w:w="1098"/>
        <w:gridCol w:w="246"/>
        <w:gridCol w:w="246"/>
        <w:gridCol w:w="210"/>
        <w:gridCol w:w="825"/>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value of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14,398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trade receivables have payment terms of less than one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$9.3 million decrease in trade receivables as of June 30, 2026 compared to December 31, 2025 was mainly due to payments received for variable considerations under the AZ JRCA billed in the three months ended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9.2 Subsidies receivables</w:t>
      </w:r>
    </w:p>
    <w:tbl>
      <w:tblPr>
        <w:tblW w:w="5585" w:type="dxa"/>
        <w:jc w:val="left"/>
        <w:tblInd w:w="0" w:type="dxa"/>
        <w:tblLayout w:type="fixed"/>
        <w:tblCellMar>
          <w:top w:w="28" w:type="dxa"/>
          <w:left w:w="28" w:type="dxa"/>
          <w:bottom w:w="28" w:type="dxa"/>
          <w:right w:w="28" w:type="dxa"/>
        </w:tblCellMar>
      </w:tblPr>
      <w:tblGrid>
        <w:gridCol w:w="2386"/>
        <w:gridCol w:w="146"/>
        <w:gridCol w:w="270"/>
        <w:gridCol w:w="1065"/>
        <w:gridCol w:w="246"/>
        <w:gridCol w:w="246"/>
        <w:gridCol w:w="210"/>
        <w:gridCol w:w="825"/>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subsidies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subsidies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7,800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9.3 Other current assets</w:t>
        <w:br/>
      </w:r>
      <w:r>
        <w:rPr>
          <w:rFonts w:ascii="Times New Roman" w:hAnsi="Times New Roman"/>
          <w:color w:val="000000"/>
          <w:sz w:val="20"/>
        </w:rPr>
        <w:t> </w:t>
      </w:r>
    </w:p>
    <w:tbl>
      <w:tblPr>
        <w:tblW w:w="6725" w:type="dxa"/>
        <w:jc w:val="left"/>
        <w:tblInd w:w="0" w:type="dxa"/>
        <w:tblLayout w:type="fixed"/>
        <w:tblCellMar>
          <w:top w:w="28" w:type="dxa"/>
          <w:left w:w="28" w:type="dxa"/>
          <w:bottom w:w="28" w:type="dxa"/>
          <w:right w:w="28" w:type="dxa"/>
        </w:tblCellMar>
      </w:tblPr>
      <w:tblGrid>
        <w:gridCol w:w="3526"/>
        <w:gridCol w:w="146"/>
        <w:gridCol w:w="270"/>
        <w:gridCol w:w="1065"/>
        <w:gridCol w:w="246"/>
        <w:gridCol w:w="246"/>
        <w:gridCol w:w="210"/>
        <w:gridCol w:w="825"/>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and social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prepayments primarily include advances to our subcontractors on research and development activities, as well as prepaid insurance premiums. The $1.6 million increase in prepaid expenses and other prepayments between December 31, 2025 and June 30, 2026 was mainly attributable to additional advance payments to R&amp;D suppliers.</w:t>
      </w:r>
    </w:p>
    <w:p>
      <w:pPr>
        <w:pStyle w:val="TextBody"/>
        <w:bidi w:val="0"/>
        <w:spacing w:before="40" w:after="283"/>
        <w:ind w:left="0" w:right="0" w:firstLine="49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Financial assets and liabilities</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tables show the carrying amounts and fair values of financial assets and financial liabilities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3"/>
        <w:gridCol w:w="315"/>
        <w:gridCol w:w="170"/>
        <w:gridCol w:w="700"/>
        <w:gridCol w:w="246"/>
        <w:gridCol w:w="246"/>
        <w:gridCol w:w="148"/>
        <w:gridCol w:w="704"/>
        <w:gridCol w:w="246"/>
        <w:gridCol w:w="246"/>
        <w:gridCol w:w="179"/>
        <w:gridCol w:w="848"/>
        <w:gridCol w:w="246"/>
        <w:gridCol w:w="246"/>
        <w:gridCol w:w="146"/>
        <w:gridCol w:w="691"/>
        <w:gridCol w:w="246"/>
        <w:gridCol w:w="246"/>
        <w:gridCol w:w="146"/>
        <w:gridCol w:w="601"/>
        <w:gridCol w:w="246"/>
        <w:gridCol w:w="246"/>
        <w:gridCol w:w="215"/>
        <w:gridCol w:w="244"/>
        <w:gridCol w:w="246"/>
        <w:gridCol w:w="246"/>
        <w:gridCol w:w="146"/>
        <w:gridCol w:w="601"/>
        <w:gridCol w:w="196"/>
      </w:tblGrid>
      <w:tr>
        <w:trPr/>
        <w:tc>
          <w:tcPr>
            <w:tcW w:w="120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Accounting category</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 on the statement of financial position</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Hierarchy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through profit and loss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1"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financial assets</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(i)</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receivables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Subsidies receivables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assets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131,257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131,257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assets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35,591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148,579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184,170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184,170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35,590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59"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59"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derivative instruments (EIB warrants)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financial liabilities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liabilities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liabilities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liabilities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13,263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89,271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102,534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102,534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228"/>
        <w:gridCol w:w="249"/>
        <w:gridCol w:w="172"/>
        <w:gridCol w:w="712"/>
        <w:gridCol w:w="246"/>
        <w:gridCol w:w="246"/>
        <w:gridCol w:w="149"/>
        <w:gridCol w:w="706"/>
        <w:gridCol w:w="246"/>
        <w:gridCol w:w="246"/>
        <w:gridCol w:w="183"/>
        <w:gridCol w:w="867"/>
        <w:gridCol w:w="246"/>
        <w:gridCol w:w="246"/>
        <w:gridCol w:w="146"/>
        <w:gridCol w:w="691"/>
        <w:gridCol w:w="246"/>
        <w:gridCol w:w="246"/>
        <w:gridCol w:w="146"/>
        <w:gridCol w:w="601"/>
        <w:gridCol w:w="246"/>
        <w:gridCol w:w="246"/>
        <w:gridCol w:w="215"/>
        <w:gridCol w:w="245"/>
        <w:gridCol w:w="246"/>
        <w:gridCol w:w="246"/>
        <w:gridCol w:w="146"/>
        <w:gridCol w:w="601"/>
        <w:gridCol w:w="196"/>
      </w:tblGrid>
      <w:tr>
        <w:trPr/>
        <w:tc>
          <w:tcPr>
            <w:tcW w:w="12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Accounting category</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 on the statement of financial position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Hierarchy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through profit and loss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financial assets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receivables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Subsidies receivables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assets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assets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61,767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174,183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235,949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235,949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61,533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0"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derivative instruments (EIB warrants)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financial liabilities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liabilities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liabilities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liabilities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91,865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114,092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114,660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22,227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As of June 30, 2026 and December 31, 2025, the carrying amount of these assets and liabilities on the statement of consolidated financial position was a reasonable approximation of their fair value.</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Current financial assets and Cash and cash equivalents</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29"/>
        <w:gridCol w:w="192"/>
        <w:gridCol w:w="1033"/>
        <w:gridCol w:w="246"/>
        <w:gridCol w:w="246"/>
        <w:gridCol w:w="827"/>
        <w:gridCol w:w="943"/>
        <w:gridCol w:w="246"/>
        <w:gridCol w:w="246"/>
        <w:gridCol w:w="220"/>
        <w:gridCol w:w="1182"/>
        <w:gridCol w:w="195"/>
      </w:tblGrid>
      <w:tr>
        <w:trPr/>
        <w:tc>
          <w:tcPr>
            <w:tcW w:w="46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December 31, 2025</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Carrying 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Gains/(Losses)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assets (deposits)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144,848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144,848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147,130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147,130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 and cash and cash equivalents</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208,663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208,663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June 30, 2026</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Carrying 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Gains/(Losses)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assets (deposits)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131,257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131,257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 and cash and cash equivalents</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166,847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166,847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11.1 Current financial assets</w:t>
      </w:r>
      <w:r>
        <w:rPr>
          <w:rFonts w:ascii="Times New Roman" w:hAnsi="Times New Roman"/>
          <w:color w:val="000000"/>
          <w:sz w:val="20"/>
        </w:rPr>
        <w:t xml:space="preserve"> </w:t>
      </w:r>
    </w:p>
    <w:p>
      <w:pPr>
        <w:pStyle w:val="TextBody"/>
        <w:bidi w:val="0"/>
        <w:spacing w:before="40" w:after="283"/>
        <w:ind w:left="0" w:right="0" w:firstLine="49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June 30, 2026, current financial assets are mainly composed of $131.1 million deposit with a term of more than three months that does not meet IAS 7 requirements to qualify as cash equivalents.</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December 31, 2025, current financial assets were composed of (i) a $144.8 million deposit with a term of more than three months that does not meet IAS 7 requirements to qualify as cash equivalents and (ii) $2.0 million of short-term restricted cash mainly related to our lease agreement for equipment in our Raleigh manufacturing site.</w:t>
      </w:r>
    </w:p>
    <w:p>
      <w:pPr>
        <w:pStyle w:val="TextBody"/>
        <w:bidi w:val="0"/>
        <w:spacing w:before="40" w:after="283"/>
        <w:ind w:left="0" w:right="0" w:firstLine="490"/>
        <w:jc w:val="both"/>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11.2 Cash and cash equivalents</w:t>
      </w:r>
      <w:r>
        <w:rPr>
          <w:rFonts w:ascii="Times New Roman" w:hAnsi="Times New Roman"/>
          <w:color w:val="000000"/>
          <w:sz w:val="20"/>
        </w:rPr>
        <w:t xml:space="preserve"> </w:t>
      </w:r>
    </w:p>
    <w:p>
      <w:pPr>
        <w:pStyle w:val="TextBody"/>
        <w:bidi w:val="0"/>
        <w:spacing w:before="120" w:after="283"/>
        <w:jc w:val="left"/>
        <w:rPr/>
      </w:pPr>
      <w:r>
        <w:rPr/>
        <w:t> </w:t>
      </w:r>
    </w:p>
    <w:tbl>
      <w:tblPr>
        <w:tblW w:w="5844" w:type="dxa"/>
        <w:jc w:val="left"/>
        <w:tblInd w:w="0" w:type="dxa"/>
        <w:tblLayout w:type="fixed"/>
        <w:tblCellMar>
          <w:top w:w="28" w:type="dxa"/>
          <w:left w:w="28" w:type="dxa"/>
          <w:bottom w:w="28" w:type="dxa"/>
          <w:right w:w="28" w:type="dxa"/>
        </w:tblCellMar>
      </w:tblPr>
      <w:tblGrid>
        <w:gridCol w:w="2791"/>
        <w:gridCol w:w="237"/>
        <w:gridCol w:w="1098"/>
        <w:gridCol w:w="246"/>
        <w:gridCol w:w="246"/>
        <w:gridCol w:w="184"/>
        <w:gridCol w:w="85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accounts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bank deposits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and cash equivalents</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61,533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Fixed bank deposits have fixed terms that are less than three months or are readily convertible to a known amount of cash and are subject to an insignificant risk of changes in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Financial liabilities and lease debts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12.1 Detail of financial liabilities and lease debts</w:t>
      </w:r>
    </w:p>
    <w:tbl>
      <w:tblPr>
        <w:tblW w:w="9595" w:type="dxa"/>
        <w:jc w:val="left"/>
        <w:tblInd w:w="0" w:type="dxa"/>
        <w:tblLayout w:type="fixed"/>
        <w:tblCellMar>
          <w:top w:w="28" w:type="dxa"/>
          <w:left w:w="28" w:type="dxa"/>
          <w:bottom w:w="28" w:type="dxa"/>
          <w:right w:w="28" w:type="dxa"/>
        </w:tblCellMar>
      </w:tblPr>
      <w:tblGrid>
        <w:gridCol w:w="5626"/>
        <w:gridCol w:w="146"/>
        <w:gridCol w:w="264"/>
        <w:gridCol w:w="1416"/>
        <w:gridCol w:w="286"/>
        <w:gridCol w:w="286"/>
        <w:gridCol w:w="217"/>
        <w:gridCol w:w="1163"/>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8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8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47,175</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22,059</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financial liabilities and non-current 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101,738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financial liabilities and current 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18,161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 and 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149,518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133,129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Reconciliation of movements of liabilities to cash flows arising from financing liabilities is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43"/>
        <w:gridCol w:w="146"/>
        <w:gridCol w:w="783"/>
        <w:gridCol w:w="146"/>
        <w:gridCol w:w="158"/>
        <w:gridCol w:w="684"/>
        <w:gridCol w:w="166"/>
        <w:gridCol w:w="229"/>
        <w:gridCol w:w="661"/>
        <w:gridCol w:w="146"/>
        <w:gridCol w:w="217"/>
        <w:gridCol w:w="939"/>
        <w:gridCol w:w="166"/>
        <w:gridCol w:w="146"/>
        <w:gridCol w:w="572"/>
        <w:gridCol w:w="146"/>
        <w:gridCol w:w="146"/>
        <w:gridCol w:w="481"/>
        <w:gridCol w:w="166"/>
        <w:gridCol w:w="146"/>
        <w:gridCol w:w="634"/>
        <w:gridCol w:w="166"/>
        <w:gridCol w:w="156"/>
        <w:gridCol w:w="675"/>
        <w:gridCol w:w="166"/>
        <w:gridCol w:w="146"/>
        <w:gridCol w:w="677"/>
        <w:gridCol w:w="198"/>
      </w:tblGrid>
      <w:tr>
        <w:trPr/>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Debt repayments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non-cash transactions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Reclassifications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expense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paid</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Non-cash change in fair value</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Currency translation adjustment</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8"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9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15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18"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3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23"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financial liabilities and non-current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90,008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financial liabilities and 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14,274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jc w:val="left"/>
        <w:rPr/>
      </w:pPr>
      <w:r>
        <w:rPr/>
        <w:t> </w:t>
      </w:r>
    </w:p>
    <w:tbl>
      <w:tblPr>
        <w:tblW w:w="11016" w:type="dxa"/>
        <w:jc w:val="left"/>
        <w:tblInd w:w="0" w:type="dxa"/>
        <w:tblLayout w:type="fixed"/>
        <w:tblCellMar>
          <w:top w:w="28" w:type="dxa"/>
          <w:left w:w="28" w:type="dxa"/>
          <w:bottom w:w="28" w:type="dxa"/>
          <w:right w:w="28" w:type="dxa"/>
        </w:tblCellMar>
      </w:tblPr>
      <w:tblGrid>
        <w:gridCol w:w="1126"/>
        <w:gridCol w:w="146"/>
        <w:gridCol w:w="676"/>
        <w:gridCol w:w="146"/>
        <w:gridCol w:w="309"/>
        <w:gridCol w:w="352"/>
        <w:gridCol w:w="146"/>
        <w:gridCol w:w="158"/>
        <w:gridCol w:w="683"/>
        <w:gridCol w:w="166"/>
        <w:gridCol w:w="247"/>
        <w:gridCol w:w="639"/>
        <w:gridCol w:w="166"/>
        <w:gridCol w:w="217"/>
        <w:gridCol w:w="939"/>
        <w:gridCol w:w="166"/>
        <w:gridCol w:w="146"/>
        <w:gridCol w:w="571"/>
        <w:gridCol w:w="146"/>
        <w:gridCol w:w="146"/>
        <w:gridCol w:w="631"/>
        <w:gridCol w:w="166"/>
        <w:gridCol w:w="146"/>
        <w:gridCol w:w="631"/>
        <w:gridCol w:w="166"/>
        <w:gridCol w:w="168"/>
        <w:gridCol w:w="658"/>
        <w:gridCol w:w="146"/>
        <w:gridCol w:w="146"/>
        <w:gridCol w:w="676"/>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2024</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Proceeds from new debts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Debt repayments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non-cash transactions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Reclassifications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expense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paid</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Non-cash change in fair value</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Currency translation adjustment</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2025</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4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8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15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1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7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7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2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2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2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financial liabilities and non-current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financial liabilities and 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(1) Payments on lease debts as presented on the Company's Interim Condensed Statements of Consolidated Cash Flows include debt repayments and related interests paid.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Conditional advances</w:t>
      </w:r>
      <w:r>
        <w:rPr>
          <w:rFonts w:ascii="Times New Roman" w:hAnsi="Times New Roman"/>
          <w:color w:val="000000"/>
          <w:sz w:val="20"/>
        </w:rPr>
        <w:t xml:space="preserve">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On March 8, 2023, we entered into a grant and refundable advance agreement with Bpifrance ("BPI") to partially finance one of our R&amp;D programs related to the eti-cel product candidate and associated CMC activities. Pursuant to this agreement, we received a first installment of $0.9 million on June 19, 2023, a second installment of $1.9 million on October 6, 2023 and a third installment of $2.1 million on December 6, 2024.</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Repayment of this advance was initially scheduled over a 3-year period starting on March 31, 2028, except in the event of technical or economic failure of the R&amp;D project. On January 30, 2026, the repayment term was extended by 18 months, with the first repayment installment due on September 30, 2029.</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amount repayable is equal to the principal amount increased by a discounting adjustment calculated at an annual rate of 3.04%, in accordance with the European Commission’s principles governing State aid. The amount of this discounting adjustment is expected to be €1.1 million ($1.2 million), resulting in the total repayment amount of €5.6 million ($6.4 million).</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This refundable advance from BPI includes a government grant component as defined in IAS 20. Because this advance bears a below-market interest rate, the Group measured the fair value of each installment using a market rate of interest and recognized the difference between the cash proceeds received and the fair value of the advance as grant income.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Based on a market interest rates of 16.1% for the first installment, 15.2% for the second installment and 8.7% for the third installment, determined using the credit spreads observed on loans contracted by Cellectis with comparable maturities, the Group measured the fair value of the advance at $3.0 million at inception. The difference between the fair value of the refundable advance and the cash proceeds received was recognized as grant income in profit and loss upon receipt of the funds. The advance is subsequently measured at amortized cost.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amendment dated January 30, 2026 which extended the repayment term by 18 months, did not have a material impact on the carrying amount of the advance. The remeasurement of the contractual cash flows resulted in the recognition of $0.2 million of financial income and $0.3 million of financial expense during the six-month period ended June 30, 2026.</w:t>
      </w:r>
    </w:p>
    <w:p>
      <w:pPr>
        <w:pStyle w:val="TextBody"/>
        <w:bidi w:val="0"/>
        <w:spacing w:before="360" w:after="283"/>
        <w:jc w:val="both"/>
        <w:rPr>
          <w:rFonts w:ascii="Times New Roman" w:hAnsi="Times New Roman"/>
          <w:sz w:val="20"/>
        </w:rPr>
      </w:pPr>
      <w:r>
        <w:rPr>
          <w:rFonts w:ascii="Times New Roman" w:hAnsi="Times New Roman"/>
          <w:i/>
          <w:color w:val="000000"/>
          <w:sz w:val="20"/>
        </w:rPr>
        <w:t>State-Guaranteed loan</w:t>
      </w:r>
      <w:r>
        <w:rPr>
          <w:rFonts w:ascii="Times New Roman" w:hAnsi="Times New Roman"/>
          <w:color w:val="000000"/>
          <w:sz w:val="20"/>
        </w:rPr>
        <w:t xml:space="preserve"> </w:t>
      </w:r>
    </w:p>
    <w:p>
      <w:pPr>
        <w:pStyle w:val="TextBody"/>
        <w:bidi w:val="0"/>
        <w:spacing w:before="120" w:after="283"/>
        <w:ind w:left="0" w:right="56" w:hanging="0"/>
        <w:jc w:val="both"/>
        <w:rPr>
          <w:rFonts w:ascii="Times New Roman" w:hAnsi="Times New Roman"/>
          <w:sz w:val="20"/>
        </w:rPr>
      </w:pPr>
      <w:r>
        <w:rPr>
          <w:rFonts w:ascii="Times New Roman" w:hAnsi="Times New Roman"/>
          <w:color w:val="000000"/>
          <w:sz w:val="20"/>
        </w:rPr>
        <w:t>The State-Guaranteed Loan (“</w:t>
      </w:r>
      <w:r>
        <w:rPr>
          <w:rFonts w:ascii="Times New Roman" w:hAnsi="Times New Roman"/>
          <w:i/>
          <w:color w:val="000000"/>
          <w:sz w:val="20"/>
        </w:rPr>
        <w:t>Prêt Garanti par l’Etat</w:t>
      </w:r>
      <w:r>
        <w:rPr>
          <w:rFonts w:ascii="Times New Roman" w:hAnsi="Times New Roman"/>
          <w:color w:val="000000"/>
          <w:sz w:val="20"/>
        </w:rPr>
        <w:t>”, or “PGE”) consists of a €18.5 million loan (equivalent to $21.1 million at exchange rate as of June 30, 2026) provided by a banking syndicate comprising HSBC, Société Générale, Banque Palatine and BPI.</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PGE loan bears a fixed interest rate ranging from 0.31% to 3.35%. Following an initial two-year interest-only period, the loan is amortized over up to four years at the Company's election. The French government guarantees 90% of the principal amount borrowed.</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As of June 30, 2026, the current liability related to the State-Guaranteed Loan amounted to $1.3 million and was fully repaid in July 2026 in accordance with the contractual repayment schedule.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current and non-current financial liabilities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As of June 30, 2026 and December 31, 2025, other current financial liabilities mainly consisted of financing obtained from BPI in August 2023 in respect of the Company's 2022 Research Tax Credit receivable, in the principal amount of €5.3 million ($6.0 million and $6.2 million as of June 30, 2026 and December 31, 2025,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European Investment Bank (“EIB”) credit facility</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On December 28, 2022, Cellectis entered into a finance contract (the “Finance Contract”) with the EIB for up to €40.0 million in financing to support research and development activities relating to its pipeline of gene-edited allogeneic cell therapy candidate products for oncology indications (the “R&amp;D Activities”).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Finance Contract provided for funding in three tranches: (i) an initial tranche of €20.0 million (“Tranche A”), disbursed on April 17, 2023; (ii) a second tranche of €15.0 million (“Tranche B”), disbursed on January 25, 2024; and (iii) a third tranche of €5.0 million (“Tranche C”), disbursed on December 18, 2024. Tranche A, Tranche B and Tranche C mature six years from their respective disbursement dates and bear contractual interest at annual rates of 8%, 7% and 6%, respectively. Interest is capitalized annually and added to the outstanding principal amount.</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On March 30, 2023, the Company and EIB entered into a Subscription Agreement relating to warrants to be issued by Cellectis S.A. (the “Warrant Agreement”), as required under the Finance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As a condition to the disbursement of Tranche A, the Company issued 2,779,188 Tranche A warrants to the EIB at the exercise price of €1.92 per warrant. As a condition to the disbursement of Tranche B, the Company issued 1,460,053 Tranche B warrants to the EIB at the exercise price of €2.53 per warrant. As a condition to the disbursement of Tranche C, the Company issued 611,426 Tranche C warrants to the EIB at the exercise price of €1.70 per warrant. The Tranche A, B and C warrants are collectively referred to as the "EIB Warrants". The exercise price of the warrants corresponds to 99% of the volume-weighted average price of the Company’s ordinary shares during the three trading days preceding the decision of the Board of Directors to issue each of the Tranche A, Tranche B and Tranche C warrants.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Each EIB Warrant entitles the EIB to acquire one ordinary share of the Company upon payment of the applicable exercise price, subject to customary adjustments and anti-dilution provisions.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EIB Warrants expire on the twentieth anniversary of their issuance date, at which time any unexercised EIB Warrants will automatically lapse and become null and void.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Any outstanding EIB Warrant becomes exercisable upon the earliest to occur of: (i) a change of control event; (ii) the maturity date of related Tranche; (iii) a public takeover bid approved by the Company’s Board of Directors; (iv) a sale of all or substantially all of certain assets of Cellectis and its subsidiaries; (v) a debt repayment event (defined as any mandatory repayment pursuant to the Finance Contract or any voluntary repayment of more than 75% of any Tranche) in respect of one or more Tranches; or (vi) the receipt by Cellectis of a written demand for repayment from the EIB following an event of default under the Finance Contract (each, an “Exercise Event”).</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Following the occurrence of an Exercise Event and until the expiration of the applicable EIB Warrants, the EIB may exercise a put option (the "EIB Put Option"), pursuant to which the EIB may require the Company to repurchase all or a portion of the then exercisable but unexercised EIB Warrants. The repurchase price would be equal to the fair market value of the EIB Warrants, subject to a cap equal to the aggregate principal amount disbursed by the EIB under the Finance Contract, less certain repaid amounts, as determined at the time the EIB Put Option is exercised.</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Furthermore, in the event of any public take-over bid by a third party or a sale of all outstanding shares of the Company to any person or group of persons acting in concert, the Company may, subject to certain conditions, including the sale by certain shareholders of all of their shares and other securities, repurchase all, but not less than all, of the EIB Warrants (the "Call Option"). The repurchase price would be equal to the greater of: (a) 0.3 times the amount disbursed by the EIB under the Finance Contract divided by the aggregate number of EIB Warrants issued (as reduced by the number EIB Warrants previously exercised); and (b) the fair market value of the EIB Warrants.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Company has a right of first refusal to repurchase any EIB Warrants offered for sale to a third party on the same terms and conditions as such third party’s offer, provided that such right of first refusal shall not apply if the contemplated sale occurs in connection with a public takeover bid by a third party.</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Finance Contract and the Warrant Agreement are separate instruments because they have different maturities and because the warrants are transferable, subject to certain conditions. Accordingly, the warrants are accounted for separately from the related loan.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Tranche A, B and C loans, as well as their related Tranche A, B and C warrants, are accounted for separately in accordance with IFRS 9. The drawdown of Tranches B and C cannot be analyzed as an amendment to the loan and warrant contracts of Tranche A or B, as each drawdown was subject to additional conditions, the related loans and warrants have different maturities, and the effective interest rate applicable to each tranche differs and reflects market conditions prevailing at the respective drawdown date.</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€20.0 million Tranche A loan is classified as a financial liability measured at amortized cost. Upon initial recognition on April 17, 2023, the carrying amount of the loan included $0.3 million of transaction costs and the $5.3 million fair value of the related warrants (see below Derivative Instruments), as the warrants formed part of the consideration provided to the EIB. The initial carrying value of the loan was $16.2 million. Thereafter, the loan is measured at amortized cost using the effective interest method, with an effective interest rate of 13.4%.</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€15.0 million Tranche B loan is classified as a financial liability measured at amortized cost. Upon initial recognition on January 25, 2024, the carrying amount of the loan included the $3.5 million fair value of the related warrants (see below Derivative Instruments), as the warrants formed part of the consideration provided to the EIB. The initial carrying value of the loan was $12.8 million. Thereafter, the loan is measured at amortized cost using the effective interest method, with an effective interest rate of 11.4%.</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€5.0 million Tranche C loan is classified as a financial liability measured at amortized cost. Upon initial recognition on December 18, 2024, the carrying amount of the loan included the $0.8 million fair value of the related warrants (see below Derivative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Instruments), as the warrants formed part of the consideration provided to the EIB. The initial fair value of the loan is $4.5 million. Thereafter, the loan is measured at amortized cost using the effective interest method, with an effective interest rate of 8.85%.</w:t>
      </w:r>
    </w:p>
    <w:p>
      <w:pPr>
        <w:pStyle w:val="TextBody"/>
        <w:bidi w:val="0"/>
        <w:spacing w:before="360" w:after="283"/>
        <w:jc w:val="both"/>
        <w:rPr>
          <w:rFonts w:ascii="Times New Roman" w:hAnsi="Times New Roman"/>
          <w:sz w:val="20"/>
        </w:rPr>
      </w:pPr>
      <w:r>
        <w:rPr>
          <w:rFonts w:ascii="Times New Roman" w:hAnsi="Times New Roman"/>
          <w:i/>
          <w:color w:val="000000"/>
          <w:sz w:val="20"/>
        </w:rPr>
        <w:t>Derivative Instruments – EIB Warrants</w:t>
      </w:r>
      <w:r>
        <w:rPr>
          <w:rFonts w:ascii="Times New Roman" w:hAnsi="Times New Roman"/>
          <w:color w:val="000000"/>
          <w:sz w:val="20"/>
        </w:rPr>
        <w:t xml:space="preserve"> </w:t>
      </w:r>
    </w:p>
    <w:p>
      <w:pPr>
        <w:pStyle w:val="TextBody"/>
        <w:bidi w:val="0"/>
        <w:spacing w:before="120" w:after="283"/>
        <w:ind w:left="0" w:right="56" w:hanging="0"/>
        <w:jc w:val="both"/>
        <w:rPr>
          <w:rFonts w:ascii="Times New Roman" w:hAnsi="Times New Roman"/>
          <w:sz w:val="20"/>
        </w:rPr>
      </w:pPr>
      <w:r>
        <w:rPr>
          <w:rFonts w:ascii="Times New Roman" w:hAnsi="Times New Roman"/>
          <w:color w:val="000000"/>
          <w:sz w:val="20"/>
        </w:rPr>
        <w:t>The warrants (</w:t>
      </w:r>
      <w:r>
        <w:rPr>
          <w:rFonts w:ascii="Times New Roman" w:hAnsi="Times New Roman"/>
          <w:i/>
          <w:color w:val="000000"/>
          <w:sz w:val="20"/>
        </w:rPr>
        <w:t>Bons de Souscription d’Actions</w:t>
      </w:r>
      <w:r>
        <w:rPr>
          <w:rFonts w:ascii="Times New Roman" w:hAnsi="Times New Roman"/>
          <w:color w:val="000000"/>
          <w:sz w:val="20"/>
        </w:rPr>
        <w:t>) issued in connection with the disbursement of the Tranches A, B and C are derivative instruments.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Based on the terms and conditions of the EIB Put Option, we consider that the Put Option and the Tranche A Warrants, Tranche B Warrants and Tranche C Warrants under each of the Tranches are to be treated as a single compound derivative.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Based on the terms and conditions of the Company’s Call Option, we consider it highly unlikely that the Company will exercise the Call Option. Accordingly, the call option was assigned a fair value of zero as of December 31, 2025 and June 30, 2026.</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“fixed for fixed” criterion of IAS 32, under which a derivative may be classified as an equity instrument only if will be settled by the exchange of a fixed number of shares for a fixed amount of cash or another financial asset, is not met. This is because the settlement provisions may result in the exchange of a variable number of shares for a variable amount upon exercise of the Put Option. Accordingly, the Tranche A, B and C Warrants and the related Put Option are not classified as equity instruments but as a financial liability measured at fair value through profit or loss.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fair value of the Tranche A, B and C Warrants and the Put Option was estimated using a Longstaff-Schwartz valuation method. These derivative instruments are classified within Level 3 in the fair value hierarchy.</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This approach is particularly appropriate for estimating the fair value of American-style options, which may be exercised at any time between the occurrence of an exercise event and their maturity date, and which contain complex exercise features. In particular, the EIB may exercise the Warrants based on Cellectis’ spot share price or exercise the Put Option based on the average share price over a 90-day period.</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Longstaff-Schwartz valuation method also reflects the market price of the underlying shares at the valuation date, the historical volatility of the Company’s share price and the contractual term of the instruments.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assumptions and results of the warrant valuation for Tranche A are detailed in the following tables: </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3056"/>
        <w:gridCol w:w="1811"/>
      </w:tblGrid>
      <w:tr>
        <w:trPr/>
        <w:tc>
          <w:tcPr>
            <w:tcW w:w="305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A</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w:t>
            </w:r>
          </w:p>
        </w:tc>
        <w:tc>
          <w:tcPr>
            <w:tcW w:w="18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4/17/2023</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date</w:t>
            </w:r>
          </w:p>
        </w:tc>
        <w:tc>
          <w:tcPr>
            <w:tcW w:w="18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4/17/2043</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options granted</w:t>
            </w:r>
          </w:p>
        </w:tc>
        <w:tc>
          <w:tcPr>
            <w:tcW w:w="18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2,779,188</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entitlement per option</w:t>
            </w:r>
          </w:p>
        </w:tc>
        <w:tc>
          <w:tcPr>
            <w:tcW w:w="18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price (in euros per option)</w:t>
            </w:r>
          </w:p>
        </w:tc>
        <w:tc>
          <w:tcPr>
            <w:tcW w:w="18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1.92</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method</w:t>
            </w:r>
          </w:p>
        </w:tc>
        <w:tc>
          <w:tcPr>
            <w:tcW w:w="18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Longstaff Schwartz</w:t>
            </w:r>
          </w:p>
        </w:tc>
      </w:tr>
    </w:tbl>
    <w:p>
      <w:pPr>
        <w:pStyle w:val="TextBody"/>
        <w:bidi w:val="0"/>
        <w:jc w:val="left"/>
        <w:rPr>
          <w:rFonts w:ascii="Times New Roman" w:hAnsi="Times New Roman"/>
          <w:i/>
          <w:color w:val="000000"/>
          <w:sz w:val="20"/>
        </w:rPr>
      </w:pPr>
      <w:r>
        <w:rPr>
          <w:rFonts w:ascii="Times New Roman" w:hAnsi="Times New Roman"/>
          <w:i/>
          <w:color w:val="000000"/>
          <w:sz w:val="20"/>
        </w:rPr>
        <w:t>* For valuation purposes, the grant date corresponds to the disbursement date of Tranche A, which is defined as the issuance date under the contract.</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2"/>
        <w:gridCol w:w="338"/>
        <w:gridCol w:w="1319"/>
        <w:gridCol w:w="271"/>
        <w:gridCol w:w="246"/>
        <w:gridCol w:w="270"/>
        <w:gridCol w:w="1731"/>
        <w:gridCol w:w="371"/>
        <w:gridCol w:w="246"/>
        <w:gridCol w:w="218"/>
        <w:gridCol w:w="1394"/>
        <w:gridCol w:w="319"/>
      </w:tblGrid>
      <w:tr>
        <w:trPr/>
        <w:tc>
          <w:tcPr>
            <w:tcW w:w="348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A</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April 17,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December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June 30, 2026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warrants granted</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2,779,188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2,779,188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2,779,188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price (in euros)</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life of options (in years)</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volatility</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81.3%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per option (in euros per share)</w:t>
            </w:r>
          </w:p>
        </w:tc>
        <w:tc>
          <w:tcPr>
            <w:tcW w:w="1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in $ thousands</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12,546</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7,467</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We conducted sensitivity analysis on the expected volatility. As shown in the tables below, the sensitivity of the fair value to the expected volatility is not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2116"/>
        <w:gridCol w:w="436"/>
        <w:gridCol w:w="1709"/>
        <w:gridCol w:w="231"/>
      </w:tblGrid>
      <w:tr>
        <w:trPr/>
        <w:tc>
          <w:tcPr>
            <w:tcW w:w="21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 of June 30, 2026</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in $ thousands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assumptions and results of the warrant valuation for Tranche B are detailed in the following tables: </w:t>
      </w:r>
    </w:p>
    <w:tbl>
      <w:tblPr>
        <w:tblW w:w="4912" w:type="dxa"/>
        <w:jc w:val="left"/>
        <w:tblInd w:w="0" w:type="dxa"/>
        <w:tblLayout w:type="fixed"/>
        <w:tblCellMar>
          <w:top w:w="28" w:type="dxa"/>
          <w:left w:w="28" w:type="dxa"/>
          <w:bottom w:w="28" w:type="dxa"/>
          <w:right w:w="28" w:type="dxa"/>
        </w:tblCellMar>
      </w:tblPr>
      <w:tblGrid>
        <w:gridCol w:w="2956"/>
        <w:gridCol w:w="239"/>
        <w:gridCol w:w="152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w:t>
            </w:r>
          </w:p>
        </w:tc>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1/25/2024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date</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1/25/2044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options granted</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entitlement per option</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(in euros per option)</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method</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Longstaff Schwartz</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 For valuation purposes, the grant date corresponds to the disbursement date of Tranche B, which is defined as the issuance date under the contract.</w:t>
      </w:r>
    </w:p>
    <w:p>
      <w:pPr>
        <w:pStyle w:val="TextBody"/>
        <w:bidi w:val="0"/>
        <w:jc w:val="left"/>
        <w:rPr/>
      </w:pPr>
      <w:r>
        <w:rPr/>
        <w:t> </w:t>
      </w:r>
    </w:p>
    <w:p>
      <w:pPr>
        <w:pStyle w:val="TextBody"/>
        <w:pBdr/>
        <w:bidi w:val="0"/>
        <w:ind w:left="0" w:right="0" w:hanging="490"/>
        <w:jc w:val="left"/>
        <w:rPr/>
      </w:pPr>
      <w:r>
        <w:rPr/>
        <w:t> </w:t>
      </w:r>
    </w:p>
    <w:tbl>
      <w:tblPr>
        <w:tblW w:w="10076" w:type="dxa"/>
        <w:jc w:val="left"/>
        <w:tblInd w:w="0" w:type="dxa"/>
        <w:tblLayout w:type="fixed"/>
        <w:tblCellMar>
          <w:top w:w="28" w:type="dxa"/>
          <w:left w:w="28" w:type="dxa"/>
          <w:bottom w:w="28" w:type="dxa"/>
          <w:right w:w="28" w:type="dxa"/>
        </w:tblCellMar>
      </w:tblPr>
      <w:tblGrid>
        <w:gridCol w:w="3466"/>
        <w:gridCol w:w="249"/>
        <w:gridCol w:w="1591"/>
        <w:gridCol w:w="271"/>
        <w:gridCol w:w="146"/>
        <w:gridCol w:w="258"/>
        <w:gridCol w:w="1647"/>
        <w:gridCol w:w="271"/>
        <w:gridCol w:w="246"/>
        <w:gridCol w:w="219"/>
        <w:gridCol w:w="1396"/>
        <w:gridCol w:w="316"/>
      </w:tblGrid>
      <w:tr>
        <w:trPr/>
        <w:tc>
          <w:tcPr>
            <w:tcW w:w="34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B</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January 25,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 granted</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 euros)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life of options (in years)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options (in euros per share)</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in $ thousands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We conducted sensitivity analysis on the expected volatility. As shown in the tables below, the sensitivity of the fair value to the expected volatility is not significant: </w:t>
      </w:r>
    </w:p>
    <w:tbl>
      <w:tblPr>
        <w:tblW w:w="4492" w:type="dxa"/>
        <w:jc w:val="left"/>
        <w:tblInd w:w="0" w:type="dxa"/>
        <w:tblLayout w:type="fixed"/>
        <w:tblCellMar>
          <w:top w:w="28" w:type="dxa"/>
          <w:left w:w="28" w:type="dxa"/>
          <w:bottom w:w="28" w:type="dxa"/>
          <w:right w:w="28" w:type="dxa"/>
        </w:tblCellMar>
      </w:tblPr>
      <w:tblGrid>
        <w:gridCol w:w="2116"/>
        <w:gridCol w:w="436"/>
        <w:gridCol w:w="1709"/>
        <w:gridCol w:w="231"/>
      </w:tblGrid>
      <w:tr>
        <w:trPr/>
        <w:tc>
          <w:tcPr>
            <w:tcW w:w="21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 of June 30, 2026</w:t>
            </w:r>
          </w:p>
        </w:tc>
        <w:tc>
          <w:tcPr>
            <w:tcW w:w="21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in $ thousands</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The assumptions and results of the warrant valuation for Tranche C are detailed in the following tables: </w:t>
      </w:r>
    </w:p>
    <w:tbl>
      <w:tblPr>
        <w:tblW w:w="4912" w:type="dxa"/>
        <w:jc w:val="left"/>
        <w:tblInd w:w="0" w:type="dxa"/>
        <w:tblLayout w:type="fixed"/>
        <w:tblCellMar>
          <w:top w:w="28" w:type="dxa"/>
          <w:left w:w="28" w:type="dxa"/>
          <w:bottom w:w="28" w:type="dxa"/>
          <w:right w:w="28" w:type="dxa"/>
        </w:tblCellMar>
      </w:tblPr>
      <w:tblGrid>
        <w:gridCol w:w="2956"/>
        <w:gridCol w:w="277"/>
        <w:gridCol w:w="1488"/>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C</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w:t>
            </w:r>
          </w:p>
        </w:tc>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12/18/2024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date</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12/18/2044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options granted</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entitlement per option</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(in euros per option)</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method</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Longstaff Schwartz</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 For valuation purposes, the grant date corresponds to the disbursement date of Tranche C, which is defined as the issuance date under the contract.</w:t>
      </w:r>
    </w:p>
    <w:p>
      <w:pPr>
        <w:pStyle w:val="TextBody"/>
        <w:bidi w:val="0"/>
        <w:spacing w:before="240" w:after="283"/>
        <w:ind w:left="0" w:right="0" w:hanging="49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41" w:type="dxa"/>
        <w:jc w:val="left"/>
        <w:tblInd w:w="0" w:type="dxa"/>
        <w:tblLayout w:type="fixed"/>
        <w:tblCellMar>
          <w:top w:w="28" w:type="dxa"/>
          <w:left w:w="28" w:type="dxa"/>
          <w:bottom w:w="28" w:type="dxa"/>
          <w:right w:w="28" w:type="dxa"/>
        </w:tblCellMar>
      </w:tblPr>
      <w:tblGrid>
        <w:gridCol w:w="3466"/>
        <w:gridCol w:w="300"/>
        <w:gridCol w:w="1605"/>
        <w:gridCol w:w="271"/>
        <w:gridCol w:w="146"/>
        <w:gridCol w:w="300"/>
        <w:gridCol w:w="1605"/>
        <w:gridCol w:w="271"/>
        <w:gridCol w:w="146"/>
        <w:gridCol w:w="238"/>
        <w:gridCol w:w="1277"/>
        <w:gridCol w:w="316"/>
      </w:tblGrid>
      <w:tr>
        <w:trPr/>
        <w:tc>
          <w:tcPr>
            <w:tcW w:w="34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C</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18,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 granted</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 euros)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life of options (in years)</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options (in euros per share)</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in $ thousands</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We conducted sensitivity analysis on the expected volatility. As shown in the tables below, the sensitivity of the fair value to the expected volatility is not significant:</w:t>
      </w:r>
    </w:p>
    <w:tbl>
      <w:tblPr>
        <w:tblW w:w="4492" w:type="dxa"/>
        <w:jc w:val="left"/>
        <w:tblInd w:w="0" w:type="dxa"/>
        <w:tblLayout w:type="fixed"/>
        <w:tblCellMar>
          <w:top w:w="28" w:type="dxa"/>
          <w:left w:w="28" w:type="dxa"/>
          <w:bottom w:w="28" w:type="dxa"/>
          <w:right w:w="28" w:type="dxa"/>
        </w:tblCellMar>
      </w:tblPr>
      <w:tblGrid>
        <w:gridCol w:w="2116"/>
        <w:gridCol w:w="436"/>
        <w:gridCol w:w="1709"/>
        <w:gridCol w:w="231"/>
      </w:tblGrid>
      <w:tr>
        <w:trPr/>
        <w:tc>
          <w:tcPr>
            <w:tcW w:w="21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 of June 30, 2026</w:t>
            </w:r>
          </w:p>
        </w:tc>
        <w:tc>
          <w:tcPr>
            <w:tcW w:w="21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in $ thousands</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12.2 Remaining contractual maturities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97"/>
        <w:gridCol w:w="146"/>
        <w:gridCol w:w="146"/>
        <w:gridCol w:w="781"/>
        <w:gridCol w:w="246"/>
        <w:gridCol w:w="246"/>
        <w:gridCol w:w="242"/>
        <w:gridCol w:w="1124"/>
        <w:gridCol w:w="246"/>
        <w:gridCol w:w="246"/>
        <w:gridCol w:w="219"/>
        <w:gridCol w:w="1019"/>
        <w:gridCol w:w="246"/>
        <w:gridCol w:w="246"/>
        <w:gridCol w:w="297"/>
        <w:gridCol w:w="1164"/>
        <w:gridCol w:w="194"/>
      </w:tblGrid>
      <w:tr>
        <w:trPr/>
        <w:tc>
          <w:tcPr>
            <w:tcW w:w="3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One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to Five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Five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 and 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133,129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44,270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96,589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4"/>
        <w:gridCol w:w="146"/>
        <w:gridCol w:w="146"/>
        <w:gridCol w:w="781"/>
        <w:gridCol w:w="246"/>
        <w:gridCol w:w="246"/>
        <w:gridCol w:w="241"/>
        <w:gridCol w:w="1124"/>
        <w:gridCol w:w="246"/>
        <w:gridCol w:w="246"/>
        <w:gridCol w:w="195"/>
        <w:gridCol w:w="1047"/>
        <w:gridCol w:w="246"/>
        <w:gridCol w:w="246"/>
        <w:gridCol w:w="297"/>
        <w:gridCol w:w="1163"/>
        <w:gridCol w:w="195"/>
      </w:tblGrid>
      <w:tr>
        <w:trPr/>
        <w:tc>
          <w:tcPr>
            <w:tcW w:w="3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One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to Five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Five Years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79,206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 and 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149,518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above remaining contractual maturities are undiscounted amounts and include future interests to be paid.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13. Other current liabilities</w:t>
      </w:r>
      <w:r>
        <w:rPr>
          <w:rFonts w:ascii="Times New Roman" w:hAnsi="Times New Roman"/>
          <w:color w:val="000000"/>
          <w:sz w:val="20"/>
        </w:rPr>
        <w:t xml:space="preserve"> </w:t>
      </w:r>
    </w:p>
    <w:p>
      <w:pPr>
        <w:pStyle w:val="TextBody"/>
        <w:bidi w:val="0"/>
        <w:jc w:val="both"/>
        <w:rPr/>
      </w:pPr>
      <w:r>
        <w:rPr/>
        <w:t> </w:t>
      </w:r>
    </w:p>
    <w:tbl>
      <w:tblPr>
        <w:tblW w:w="7205" w:type="dxa"/>
        <w:jc w:val="left"/>
        <w:tblInd w:w="0" w:type="dxa"/>
        <w:tblLayout w:type="fixed"/>
        <w:tblCellMar>
          <w:top w:w="28" w:type="dxa"/>
          <w:left w:w="28" w:type="dxa"/>
          <w:bottom w:w="28" w:type="dxa"/>
          <w:right w:w="28" w:type="dxa"/>
        </w:tblCellMar>
      </w:tblPr>
      <w:tblGrid>
        <w:gridCol w:w="3316"/>
        <w:gridCol w:w="146"/>
        <w:gridCol w:w="298"/>
        <w:gridCol w:w="1382"/>
        <w:gridCol w:w="246"/>
        <w:gridCol w:w="246"/>
        <w:gridCol w:w="245"/>
        <w:gridCol w:w="1135"/>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for 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both"/>
        <w:rPr/>
      </w:pPr>
      <w:r>
        <w:rPr/>
        <w:t> </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Accruals for personnel related expenses include paid time-off, payroll related social charges accruals, and annual bonus accruals. </w:t>
      </w:r>
    </w:p>
    <w:p>
      <w:pPr>
        <w:pStyle w:val="TextBody"/>
        <w:bidi w:val="0"/>
        <w:jc w:val="both"/>
        <w:rPr/>
      </w:pPr>
      <w:r>
        <w:rPr/>
        <w:t> </w:t>
      </w:r>
    </w:p>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Deferred income and contract liabilities</w:t>
      </w:r>
      <w:r>
        <w:rPr>
          <w:rFonts w:ascii="Times New Roman" w:hAnsi="Times New Roman"/>
          <w:color w:val="000000"/>
          <w:sz w:val="20"/>
        </w:rPr>
        <w:t xml:space="preserve"> </w:t>
      </w:r>
    </w:p>
    <w:tbl>
      <w:tblPr>
        <w:tblW w:w="7850" w:type="dxa"/>
        <w:jc w:val="left"/>
        <w:tblInd w:w="0" w:type="dxa"/>
        <w:tblLayout w:type="fixed"/>
        <w:tblCellMar>
          <w:top w:w="28" w:type="dxa"/>
          <w:left w:w="28" w:type="dxa"/>
          <w:bottom w:w="28" w:type="dxa"/>
          <w:right w:w="28" w:type="dxa"/>
        </w:tblCellMar>
      </w:tblPr>
      <w:tblGrid>
        <w:gridCol w:w="3961"/>
        <w:gridCol w:w="146"/>
        <w:gridCol w:w="298"/>
        <w:gridCol w:w="1382"/>
        <w:gridCol w:w="246"/>
        <w:gridCol w:w="246"/>
        <w:gridCol w:w="245"/>
        <w:gridCol w:w="1135"/>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income and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96,803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90,918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As of June 30, 2026, the deferred income and contract liabilities included $90.6 million of deferred revenues related to the AZ JRCA, including upfront payments received under the IIA and the SIA.</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The $5.9 million decrease in deferred revenues between December 31, 2025 and June 30, 2026 was primarily attributable to (i) revenue recognized in the six-month period ended June 30, 2026 of $10.6 million, of which $5.5 million were included in deferred revenues at the beginning of the year, and (ii) a foreign exchange impact of $2.9 million, partially offset by (iii) additional consideration received from customers of $7.3 million.</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As of December 31, 2025, the deferred revenues and contract liabilities included $96.8 million of deferred revenues related to the AZ JRCA, including upfront payments received under the IIA and the SIA.</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The accounting treatment of the AZ JRCA, the IIA and the SIA is described in Note 2.3 "Accounting treatment of transactions with AstraZeneca".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15. Share capital and premium related to the share capitals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6"/>
        <w:gridCol w:w="246"/>
        <w:gridCol w:w="175"/>
        <w:gridCol w:w="688"/>
        <w:gridCol w:w="246"/>
        <w:gridCol w:w="246"/>
        <w:gridCol w:w="160"/>
        <w:gridCol w:w="860"/>
        <w:gridCol w:w="266"/>
        <w:gridCol w:w="246"/>
        <w:gridCol w:w="146"/>
        <w:gridCol w:w="1141"/>
        <w:gridCol w:w="246"/>
        <w:gridCol w:w="246"/>
        <w:gridCol w:w="907"/>
      </w:tblGrid>
      <w:tr>
        <w:trPr/>
        <w:tc>
          <w:tcPr>
            <w:tcW w:w="43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4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Nature of the Transactions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 Capital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 premium</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Nominal value</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 (except number of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494,288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100,093,873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prior period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share warrants, employee warrants, stock-options and free-shares vesting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5,902</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433,549</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100,325,229</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437,445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100,339,441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prior period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share warrants, employee warrants, stock-options and vesting of free-shares (1)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358,717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5,924</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371,749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100,698,158</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evolution during the six-month period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During the six-month period ended June 30, 2026, 358,717 ordinary shares were issued to the benefit of Cellectis employees related to free share plans which met vesting conditions and exercises of stock-options. </w:t>
      </w:r>
    </w:p>
    <w:p>
      <w:pPr>
        <w:pStyle w:val="TextBody"/>
        <w:bidi w:val="0"/>
        <w:spacing w:before="360" w:after="283"/>
        <w:jc w:val="left"/>
        <w:rPr>
          <w:rFonts w:ascii="Times New Roman" w:hAnsi="Times New Roman"/>
          <w:sz w:val="20"/>
        </w:rPr>
      </w:pPr>
      <w:r>
        <w:rPr>
          <w:rFonts w:ascii="Times New Roman" w:hAnsi="Times New Roman"/>
          <w:b/>
          <w:color w:val="000000"/>
          <w:sz w:val="20"/>
        </w:rPr>
        <w:t>Note 16. Non-cash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Detail of Cellectis equity awards</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Holders of vested Cellectis stock options and warrants are entitled to exercise stock options and warrants to purchase Cellectis ordinary shares at a fixed exercise price established at the grant date during their contractual term of the awards. </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For stock options and warrants, we estimate the fair value of awards on the grant date, or other measurement date, if applicable, using the Black-Scholes option-pricing model. This model requires the use of subjective assumptions, including expected stock price volatility, expected term, dividend yield, and the forfeiture rate. We estimate expected stock price volatility based on historical closing prices of Cellectis ordinary shares over a period corresponding to the expected term of the award. The expected term represents the period during which the awards are expected to remain outstanding and is determined using the simplified method. The risk-free interest rate is based on French government securities with maturities similar to the expected term of the awards in effect at the grant date. We have never declared or paid cash dividends and do not currently anticipate paying cash dividends in the foreseeable future. Accordingly, an expected dividend yield of zero was used in determining the fair value of the awards. Stock options and warrants may be granted with an exercise price equal to or greater than the fair market value of Cellectis ordinary shares on the grant date and generally vest over a four-year period. Stock options and warrants generally expire ten years after the grant date.</w:t>
      </w:r>
    </w:p>
    <w:p>
      <w:pPr>
        <w:pStyle w:val="TextBody"/>
        <w:bidi w:val="0"/>
        <w:spacing w:before="0" w:after="240"/>
        <w:ind w:left="0" w:right="56" w:hanging="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The weighted-average fair values of stock options granted and the assumptions used for the Black-Scholes option pricing model were as follows for the six-month periods ended June 30, 2025 and June 30, 2026:</w:t>
      </w:r>
    </w:p>
    <w:tbl>
      <w:tblPr>
        <w:tblW w:w="3431" w:type="dxa"/>
        <w:jc w:val="left"/>
        <w:tblInd w:w="0" w:type="dxa"/>
        <w:tblLayout w:type="fixed"/>
        <w:tblCellMar>
          <w:top w:w="28" w:type="dxa"/>
          <w:left w:w="28" w:type="dxa"/>
          <w:bottom w:w="28" w:type="dxa"/>
          <w:right w:w="28" w:type="dxa"/>
        </w:tblCellMar>
      </w:tblPr>
      <w:tblGrid>
        <w:gridCol w:w="161"/>
        <w:gridCol w:w="1568"/>
        <w:gridCol w:w="1702"/>
      </w:tblGrid>
      <w:tr>
        <w:trPr/>
        <w:tc>
          <w:tcPr>
            <w:tcW w:w="16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six-month period ended June 30,</w:t>
            </w:r>
          </w:p>
        </w:tc>
      </w:tr>
      <w:tr>
        <w:trPr/>
        <w:tc>
          <w:tcPr>
            <w:tcW w:w="161"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r>
      <w:tr>
        <w:trPr/>
        <w:tc>
          <w:tcPr>
            <w:tcW w:w="161"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5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93" w:type="dxa"/>
        <w:jc w:val="left"/>
        <w:tblInd w:w="0" w:type="dxa"/>
        <w:tblLayout w:type="fixed"/>
        <w:tblCellMar>
          <w:top w:w="28" w:type="dxa"/>
          <w:left w:w="28" w:type="dxa"/>
          <w:bottom w:w="28" w:type="dxa"/>
          <w:right w:w="28" w:type="dxa"/>
        </w:tblCellMar>
      </w:tblPr>
      <w:tblGrid>
        <w:gridCol w:w="4546"/>
        <w:gridCol w:w="1951"/>
        <w:gridCol w:w="1996"/>
      </w:tblGrid>
      <w:tr>
        <w:trPr/>
        <w:tc>
          <w:tcPr>
            <w:tcW w:w="45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4546" w:type="dxa"/>
            <w:tcBorders>
              <w:top w:val="single" w:sz="18" w:space="0" w:color="000000"/>
            </w:tcBorders>
            <w:shd w:fill="CCEE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values of stock options granted</w:t>
            </w:r>
          </w:p>
        </w:tc>
        <w:tc>
          <w:tcPr>
            <w:tcW w:w="1951" w:type="dxa"/>
            <w:tcBorders>
              <w:top w:val="single" w:sz="1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0.87€</w:t>
            </w:r>
          </w:p>
        </w:tc>
        <w:tc>
          <w:tcPr>
            <w:tcW w:w="1996" w:type="dxa"/>
            <w:tcBorders>
              <w:top w:val="single" w:sz="1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Assumptions:</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2.78% - 2.95%</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2.92% - 3.24%</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entitlement per options</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 - 1.56€</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 - 3.49€</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Underlying stock price at grant date</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1.26€-1.52€</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2.97€-3.38€</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65.0%- 65.9%</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71.3%- 71.9%</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5.93 - 6.12</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5.93 - 6.17</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conditions</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Performance &amp; Service</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Performance &amp; Service</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period</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Graded</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Graded</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 options granted to our executive officers and Chairman of the Board of Directors are subject to non-market performance conditions comprising a combination of financial, manufacturing, and clinical objectives.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 activity was as follows:</w:t>
      </w:r>
    </w:p>
    <w:tbl>
      <w:tblPr>
        <w:tblW w:w="10205" w:type="dxa"/>
        <w:jc w:val="left"/>
        <w:tblInd w:w="0" w:type="dxa"/>
        <w:tblLayout w:type="fixed"/>
        <w:tblCellMar>
          <w:top w:w="28" w:type="dxa"/>
          <w:left w:w="28" w:type="dxa"/>
          <w:bottom w:w="28" w:type="dxa"/>
          <w:right w:w="28" w:type="dxa"/>
        </w:tblCellMar>
      </w:tblPr>
      <w:tblGrid>
        <w:gridCol w:w="2137"/>
        <w:gridCol w:w="194"/>
        <w:gridCol w:w="1376"/>
        <w:gridCol w:w="166"/>
        <w:gridCol w:w="641"/>
        <w:gridCol w:w="2517"/>
        <w:gridCol w:w="146"/>
        <w:gridCol w:w="815"/>
        <w:gridCol w:w="2018"/>
        <w:gridCol w:w="195"/>
      </w:tblGrid>
      <w:tr>
        <w:trPr/>
        <w:tc>
          <w:tcPr>
            <w:tcW w:w="21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 Per Share (in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 Average contractual Life (in years)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12,519,294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17,303,505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16,040,242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19,533,237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Share-based compensation expense related to Cellectis' stock option awards was $3.9 million and $2.0 million for the six-month periods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29, 2026, the Board of Directors granted 3,116,913 stock options to executive officers and the Chairman of the Board of Directors. These stock options vest over a three-year period based on both service and non-market performance conditions. On the same date, the Board of Directors also granted 47,500 stock options to non-executive employees. These stock options vest over a four-year period based on service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19, 2026, the Board of Directors granted 2,233,950 stock options to non-executive employees. These stock options vest over a four-year period based on service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11, 2026, the Board of Directors granted 30,000 stock options to non-executive employees. These stock options vest over a four-year period based on service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 total of 9,085,548 stock options were exercisable at a weighted average exercise price of €9.25.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a total of 8,649,648 stock options were exercisable at a weighted average exercise price of €16.65.</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warrants were granted during the six-month periods ended June 30, 2026 and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Warrants activity was as follows:</w:t>
      </w:r>
    </w:p>
    <w:tbl>
      <w:tblPr>
        <w:tblW w:w="10205" w:type="dxa"/>
        <w:jc w:val="left"/>
        <w:tblInd w:w="0" w:type="dxa"/>
        <w:tblLayout w:type="fixed"/>
        <w:tblCellMar>
          <w:top w:w="28" w:type="dxa"/>
          <w:left w:w="28" w:type="dxa"/>
          <w:bottom w:w="28" w:type="dxa"/>
          <w:right w:w="28" w:type="dxa"/>
        </w:tblCellMar>
      </w:tblPr>
      <w:tblGrid>
        <w:gridCol w:w="2188"/>
        <w:gridCol w:w="260"/>
        <w:gridCol w:w="1395"/>
        <w:gridCol w:w="166"/>
        <w:gridCol w:w="571"/>
        <w:gridCol w:w="2655"/>
        <w:gridCol w:w="146"/>
        <w:gridCol w:w="756"/>
        <w:gridCol w:w="1874"/>
        <w:gridCol w:w="194"/>
      </w:tblGrid>
      <w:tr>
        <w:trPr/>
        <w:tc>
          <w:tcPr>
            <w:tcW w:w="21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 Per Share (in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 Average Useful Life (in years)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338,875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288,875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 total of 100,813 warrants were exercisable at a weighted average exercise price of €15.69.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a total of 288,875 warrants were exercisable at a weighted average exercise price of €24.70.</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Free shares</w:t>
      </w:r>
    </w:p>
    <w:p>
      <w:pPr>
        <w:pStyle w:val="TextBody"/>
        <w:bidi w:val="0"/>
        <w:jc w:val="both"/>
        <w:rPr>
          <w:rFonts w:ascii="Times New Roman" w:hAnsi="Times New Roman"/>
          <w:color w:val="000000"/>
          <w:sz w:val="20"/>
        </w:rPr>
      </w:pPr>
      <w:r>
        <w:rPr>
          <w:rFonts w:ascii="Times New Roman" w:hAnsi="Times New Roman"/>
          <w:color w:val="000000"/>
          <w:sz w:val="20"/>
        </w:rPr>
        <w:t>The free shares granted since 2021 are subject to a three-year vesting period for all employees based on service conditions. Free shares granted to executive officers are also subject to non-market performance conditions comprising a combination of financial, manufacturing, and clinical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Free shares activity was as follows:</w:t>
        <w:br/>
        <w:t> </w:t>
      </w:r>
    </w:p>
    <w:tbl>
      <w:tblPr>
        <w:tblW w:w="10205" w:type="dxa"/>
        <w:jc w:val="left"/>
        <w:tblInd w:w="0" w:type="dxa"/>
        <w:tblLayout w:type="fixed"/>
        <w:tblCellMar>
          <w:top w:w="28" w:type="dxa"/>
          <w:left w:w="28" w:type="dxa"/>
          <w:bottom w:w="28" w:type="dxa"/>
          <w:right w:w="28" w:type="dxa"/>
        </w:tblCellMar>
      </w:tblPr>
      <w:tblGrid>
        <w:gridCol w:w="3148"/>
        <w:gridCol w:w="422"/>
        <w:gridCol w:w="2445"/>
        <w:gridCol w:w="166"/>
        <w:gridCol w:w="912"/>
        <w:gridCol w:w="2919"/>
        <w:gridCol w:w="193"/>
      </w:tblGrid>
      <w:tr>
        <w:trPr/>
        <w:tc>
          <w:tcPr>
            <w:tcW w:w="31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Free shares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 Fair Value (in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January 1, 2025</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509,295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June 30, 2025</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264,045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January 1, 2026</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251,946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June 30, 2026</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free shares is based on the closing price of our ordinary shares at grant date. We have never declared or paid cash dividends and do not currently anticipate paying cash dividends in the foreseeable future. Accordingly, an expected dividend yield of zero was used in determining the fair value of the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Share-based compensation expense related to Cellectis's free shares awards was $0.0 million and $0.2 million for the six-month periods ended June 30, 2026 and 2025, respectively.</w:t>
      </w:r>
    </w:p>
    <w:p>
      <w:pPr>
        <w:pStyle w:val="TextBody"/>
        <w:bidi w:val="0"/>
        <w:spacing w:before="24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Earnings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2"/>
        <w:gridCol w:w="246"/>
        <w:gridCol w:w="146"/>
        <w:gridCol w:w="1141"/>
        <w:gridCol w:w="266"/>
        <w:gridCol w:w="246"/>
        <w:gridCol w:w="146"/>
        <w:gridCol w:w="1141"/>
        <w:gridCol w:w="391"/>
      </w:tblGrid>
      <w:tr>
        <w:trPr/>
        <w:tc>
          <w:tcPr>
            <w:tcW w:w="64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shareholders of Cellectis ($ in thousands)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outstanding shares, used to calculate basic and diluted net result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100,231,292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100,587,696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602"/>
        <w:gridCol w:w="146"/>
        <w:gridCol w:w="146"/>
        <w:gridCol w:w="1141"/>
        <w:gridCol w:w="246"/>
        <w:gridCol w:w="246"/>
        <w:gridCol w:w="146"/>
        <w:gridCol w:w="1141"/>
        <w:gridCol w:w="391"/>
      </w:tblGrid>
      <w:tr>
        <w:trPr/>
        <w:tc>
          <w:tcPr>
            <w:tcW w:w="6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shareholders of Cellectis ($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outstanding shares, used to calculate basic and diluted net result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100,305,204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100,647,451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six-month periods ended June 30, 2026 and 2025, potentially dilutive securities were excluded from the calculation of diluted net loss per share as their effect would have been anti-dilutive. These securities consist of stock options and warrants granted to employees and directors (see Note 16), as well as outstanding warrants ("BSAs") granted to the EIB (see Note 12).</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Provisions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3"/>
        <w:gridCol w:w="146"/>
        <w:gridCol w:w="219"/>
        <w:gridCol w:w="858"/>
        <w:gridCol w:w="246"/>
        <w:gridCol w:w="246"/>
        <w:gridCol w:w="237"/>
        <w:gridCol w:w="514"/>
        <w:gridCol w:w="246"/>
        <w:gridCol w:w="246"/>
        <w:gridCol w:w="318"/>
        <w:gridCol w:w="1057"/>
        <w:gridCol w:w="266"/>
        <w:gridCol w:w="246"/>
        <w:gridCol w:w="330"/>
        <w:gridCol w:w="376"/>
        <w:gridCol w:w="246"/>
        <w:gridCol w:w="246"/>
        <w:gridCol w:w="146"/>
        <w:gridCol w:w="376"/>
        <w:gridCol w:w="266"/>
        <w:gridCol w:w="246"/>
        <w:gridCol w:w="205"/>
        <w:gridCol w:w="805"/>
        <w:gridCol w:w="195"/>
      </w:tblGrid>
      <w:tr>
        <w:trPr/>
        <w:tc>
          <w:tcPr>
            <w:tcW w:w="1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January 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Amounts used during the period</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Reversals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OCI</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indemnities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litigation and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litigation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provision for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provisions during the six-month period ended June 30, 2026 were immaterial.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26, 2025, Factor Bioscience filed a complaint in the United States District Court for the District of Delaware against Cellectis S.A., Cellectis, Inc., AstraZeneca Ireland Limited, and AstraZeneca Holdings B.V., alleging that Cellectis' TALEN-based gene-editing technology would infringe three of Factor's U.S. patents. Considering the early stage of the proceedings, our belief that we have meritorious defenses and our intention to vigorously defend this action, no liability has been recognized in the Company's Interim Condensed Statement of Consolidated Financial Position as of June 30,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20, 2026, Life Technologies Corporation (“LTC”), a subsidiary of Thermo Fisher Scientific Inc. ("TFS"), purported to terminate license agreements between LTC and Cellectis in 2014, which grant Cellectis non-exclusive rights under certain patents, the Halle Patent Therapeutic License, the Halle Patent Research License, and the GeneArt and Seamless Cloning Patent Therapeutic License (the « LTC Agreements »). This purported termination follows TFS’s allegations that we failed to comply with our obligations under the LTC Agreements, as previously disclosed. Simultaneously therewith, LTC commenced an arbitration before the American Arbitration Association, naming Cellectis S.A. and Cellectis Bioresearch, Inc. as Respondents. LTC’s arbitration demand alleges that Cellectis has breached the LTC License Agreements by underpaying sublicense royalties and otherwise failing to comply with our obligations under the LTC Agreements. According to us, this termination is invalid and LTC’s claims under this arbitration demand are without merit. Considering the early stage of the proceedings, our belief that we have meritorious defenses and our intention to vigorously defend this action, no liability was recognized in the Company's Interim Condensed Statement of Consolidated Financial Position as of June 30, 2026.</w:t>
      </w:r>
    </w:p>
    <w:p>
      <w:pPr>
        <w:pStyle w:val="TextBody"/>
        <w:bidi w:val="0"/>
        <w:jc w:val="both"/>
        <w:rPr/>
      </w:pPr>
      <w:r>
        <w:rPr/>
        <w:t> </w:t>
      </w:r>
    </w:p>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19. Off-balance sheet commitments</w:t>
      </w:r>
    </w:p>
    <w:p>
      <w:pPr>
        <w:pStyle w:val="TextBody"/>
        <w:bidi w:val="0"/>
        <w:jc w:val="left"/>
        <w:rPr/>
      </w:pPr>
      <w:r>
        <w:rPr/>
        <w:t> </w:t>
      </w:r>
    </w:p>
    <w:tbl>
      <w:tblPr>
        <w:tblW w:w="9053" w:type="dxa"/>
        <w:jc w:val="left"/>
        <w:tblInd w:w="0" w:type="dxa"/>
        <w:tblLayout w:type="fixed"/>
        <w:tblCellMar>
          <w:top w:w="28" w:type="dxa"/>
          <w:left w:w="28" w:type="dxa"/>
          <w:bottom w:w="28" w:type="dxa"/>
          <w:right w:w="28" w:type="dxa"/>
        </w:tblCellMar>
      </w:tblPr>
      <w:tblGrid>
        <w:gridCol w:w="2056"/>
        <w:gridCol w:w="146"/>
        <w:gridCol w:w="146"/>
        <w:gridCol w:w="571"/>
        <w:gridCol w:w="246"/>
        <w:gridCol w:w="246"/>
        <w:gridCol w:w="238"/>
        <w:gridCol w:w="932"/>
        <w:gridCol w:w="246"/>
        <w:gridCol w:w="246"/>
        <w:gridCol w:w="155"/>
        <w:gridCol w:w="610"/>
        <w:gridCol w:w="246"/>
        <w:gridCol w:w="246"/>
        <w:gridCol w:w="358"/>
        <w:gridCol w:w="407"/>
        <w:gridCol w:w="246"/>
        <w:gridCol w:w="246"/>
        <w:gridCol w:w="597"/>
        <w:gridCol w:w="678"/>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1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1 - 3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3 - 5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licensing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53" w:type="dxa"/>
        <w:jc w:val="left"/>
        <w:tblInd w:w="0" w:type="dxa"/>
        <w:tblLayout w:type="fixed"/>
        <w:tblCellMar>
          <w:top w:w="28" w:type="dxa"/>
          <w:left w:w="28" w:type="dxa"/>
          <w:bottom w:w="28" w:type="dxa"/>
          <w:right w:w="28" w:type="dxa"/>
        </w:tblCellMar>
      </w:tblPr>
      <w:tblGrid>
        <w:gridCol w:w="2056"/>
        <w:gridCol w:w="146"/>
        <w:gridCol w:w="146"/>
        <w:gridCol w:w="571"/>
        <w:gridCol w:w="246"/>
        <w:gridCol w:w="246"/>
        <w:gridCol w:w="238"/>
        <w:gridCol w:w="932"/>
        <w:gridCol w:w="246"/>
        <w:gridCol w:w="246"/>
        <w:gridCol w:w="155"/>
        <w:gridCol w:w="610"/>
        <w:gridCol w:w="246"/>
        <w:gridCol w:w="246"/>
        <w:gridCol w:w="358"/>
        <w:gridCol w:w="407"/>
        <w:gridCol w:w="246"/>
        <w:gridCol w:w="246"/>
        <w:gridCol w:w="597"/>
        <w:gridCol w:w="678"/>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1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1 - 3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3 - 5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licensing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2,812</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Calyxt Lease Guaranty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amounts stated in the above table, in September 2017 Cellectis provided a guaranty on the lease agreement that Calyxt entered into for its headquarters in Roseville, Minnesota. The lease has a term of twenty years with four options to extend its term for five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Calyxt previously agreed to indemnify Cellectis for any obligations under this guaranty, effective upon Cellectis’ ownership falling to 50 percent or less of Calyxt’s outstanding common stock. Accordingly, Calyxt’s indemnification obligation was triggered in October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Merger Agreement, we executed a voting agreement with Cibus to vote in favor of and approve all the transactions contemplated by the Merger Agreement, subject to the terms and conditions thereof. Pursuant to the voting agreement, at such time that the annual revenues of Calyxt Inc. equals $25.0 million or more for two consecutive 12-month periods after the closing of the Merger, Cibus will use commercially reasonable efforts to terminate our guaranty of Calyxt’s lease agreement with respect to its headquarters, which we provided in favor of the landlord of that property. As of June 30, 2026, our lease guaranty represented a potential commitment in the amount of $19.2 million over the remaining 12-year lease period. Cibus, however, will not be required to replace us as guarantor or pay any fees in connection with termination of the guaranty. Until the parties are able to terminate our lease guaranty, Cibus may not renew or extend the lease or enter into any amendment that would increase our obligation under the lease guaranty. Further, Cibus, from and after the closing of the Merger, agrees to indemnify us and our affiliates in connection with the Cibus lease and our guaranty thereof.</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Obligations under the terms of license agreements and collaboration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have agreements whereby we are obligated to pay royalties and milestone payments based on future events which are highly uncertain and therefore they are not included in the table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Obligations under the terms of IT licensing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cloud-computing arrangements which are accounted for as service contracts. Under these arrangements, we have obligations to pay quarterly fixed fees per active number of user licenses.</w:t>
      </w:r>
    </w:p>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20. Related parties and other major shareholders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Transactions with related parties having significant influence over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six-month periods ended June 30, 2026 and 2025, the Group entered into transactions with AstraZeneca, which is also a shareholder with significant influence over the Group. These transactions are described in Notes 2.3 and 4.1.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balances with AstraZeneca as of June 30, 2026 and December 31, 2025 were as follows:</w:t>
      </w:r>
    </w:p>
    <w:p>
      <w:pPr>
        <w:pStyle w:val="TextBody"/>
        <w:bidi w:val="0"/>
        <w:spacing w:before="120" w:after="283"/>
        <w:jc w:val="both"/>
        <w:rPr/>
      </w:pPr>
      <w:r>
        <w:rPr/>
        <w:t> </w:t>
      </w:r>
    </w:p>
    <w:tbl>
      <w:tblPr>
        <w:tblW w:w="7020" w:type="dxa"/>
        <w:jc w:val="left"/>
        <w:tblInd w:w="0" w:type="dxa"/>
        <w:tblLayout w:type="fixed"/>
        <w:tblCellMar>
          <w:top w:w="28" w:type="dxa"/>
          <w:left w:w="28" w:type="dxa"/>
          <w:bottom w:w="28" w:type="dxa"/>
          <w:right w:w="28" w:type="dxa"/>
        </w:tblCellMar>
      </w:tblPr>
      <w:tblGrid>
        <w:gridCol w:w="3331"/>
        <w:gridCol w:w="146"/>
        <w:gridCol w:w="298"/>
        <w:gridCol w:w="1382"/>
        <w:gridCol w:w="146"/>
        <w:gridCol w:w="146"/>
        <w:gridCol w:w="245"/>
        <w:gridCol w:w="1135"/>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AstraZeneca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146"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46"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91"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and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Transactions with other major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Bpifrance, a shareholder of Cellectis without significant influence over the Group, participated in a banking syndicate that granted a State-Guaranteed Loan (“</w:t>
      </w:r>
      <w:r>
        <w:rPr>
          <w:rFonts w:ascii="Times New Roman" w:hAnsi="Times New Roman"/>
          <w:i/>
          <w:color w:val="000000"/>
          <w:sz w:val="20"/>
        </w:rPr>
        <w:t>Prêt Garanti par l’Etat</w:t>
      </w:r>
      <w:r>
        <w:rPr>
          <w:rFonts w:ascii="Times New Roman" w:hAnsi="Times New Roman"/>
          <w:color w:val="000000"/>
          <w:sz w:val="20"/>
        </w:rPr>
        <w:t>”, or “PGE”) to Cellectis. During the six-month period ended June 30, 2026, we made principal and interest payments to Bpifrance of €0.8 million ($0.9 million) to Bpifrance under the PGE.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entered into agreements with Bpifrance providing for: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 equal to 80% of our receivables relating to the 2022 Research Tax Credit ("Crédit d'Impôt Recherche" or "CIR"). Pursuant to this agreement, Bpifrance advanced €5.3 million in August 2023. The agreement was subsequently amended to extend the maturity to October, 15, 2026. During the six- month period ended June 30, 2026, we made interest payments of $0.1 million;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grant and repayable advance of up to €6.4 million, subject to certain conditions, to partially fund an R&amp;D program related to Cellectis' eti-cel product candidate (see note 12). During the six-month period ended June 30, 2026, Cellectis made no principal or interest payments related to this advance. Interests accrued during the period amount to €0.2 million ($0.2 million).</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balances with Bpifrance were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75" w:type="dxa"/>
        <w:jc w:val="left"/>
        <w:tblInd w:w="0" w:type="dxa"/>
        <w:tblLayout w:type="fixed"/>
        <w:tblCellMar>
          <w:top w:w="28" w:type="dxa"/>
          <w:left w:w="28" w:type="dxa"/>
          <w:bottom w:w="28" w:type="dxa"/>
          <w:right w:w="28" w:type="dxa"/>
        </w:tblCellMar>
      </w:tblPr>
      <w:tblGrid>
        <w:gridCol w:w="2686"/>
        <w:gridCol w:w="146"/>
        <w:gridCol w:w="298"/>
        <w:gridCol w:w="1382"/>
        <w:gridCol w:w="146"/>
        <w:gridCol w:w="246"/>
        <w:gridCol w:w="245"/>
        <w:gridCol w:w="1135"/>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Bpifrance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146"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46"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91"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21. Subsequent events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outstanding balance under the State-Guaranteed Loan ("PGE"), amounting to $1.3 million as of June 30, 2026, was fully repaid in July 2026 in accordance with the contractual repayment schedule.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 w:name="item2_mda"/>
      <w:bookmarkEnd w:id="7"/>
      <w:r>
        <w:rPr>
          <w:rFonts w:ascii="Times New Roman" w:hAnsi="Times New Roman"/>
          <w:b/>
          <w:color w:val="000000"/>
          <w:sz w:val="20"/>
        </w:rPr>
        <w:t>Item 2. Management’s Discussion &amp; Analysis of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biotechnological company, employing our core proprietary technologies to develop products based on gene-editing, with a portfolio of allogeneic Chimeric Antigen Receptor T-cells (“UCART”) product candidates in the field of immuno-oncology and gene therapy product candidates in other therapeutic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UCART product candidates, based on gene-edited T-cells that express chimeric antigen receptors, or CARs, seek to harness the power of the immune system to target and eradicate cancers. We believe that CAR-based immunotherapy is one of the most promising areas of cancer research, representing a new paradigm for cancer treatment. We are designing next-generation immunotherapies that are based on gene-edited CAR T-cells. Our gene-editing technologies allow us to create allogeneic CAR T-cells, meaning they are derived from healthy donors rather than the patients themselves. We believe that the allogeneic production of CAR T-cells will allow us to develop cost-effective, “off-the-shelf” products that are capable of being stored and distributed worldwide. Our gene-editing expertise also enables us to develop product candidates that feature additional safety and efficacy attributes, including control properties designed to prevent them from attacking healthy tissues, to enable them to tolerate standard oncology treatments, and to equip them to resist mechanisms that inhibit immune-system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Together with our focus on immuno-oncology, we are using our gene editing technologies to develop gene therapy product candidates in other therapeutic indications. The relative emphasis we place on our programs and product candidates may evolve from time-to-time in light of a variety of factors.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conducting our operations through one business segment, Therapeutics. Our Therapeutics segment is focused on the development of products in the field of immuno-oncology and other therapeutic indications.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in early 2000, we have devoted substantially all of our financial resources to research and development efforts. Our current research and development focuses primarily on our CAR T-cells and gene therapy product candidates, including conducting the pre-clinical activities, and preparing to conduct clinical studies of our UCART product candidates, providing general and administrative support for these operations and protecting our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therapeutic products approved for sale and have not generated any revenues from therapeutic product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date of this Report, we are sponsoring clinical studies with respect to two proprietary Cellectis UCART product candidates: the BALLI-01 Study and the NATHALI-01 Study.</w:t>
      </w:r>
    </w:p>
    <w:p>
      <w:pPr>
        <w:pStyle w:val="TextBody"/>
        <w:bidi w:val="0"/>
        <w:jc w:val="both"/>
        <w:rPr>
          <w:rFonts w:ascii="Times New Roman" w:hAnsi="Times New Roman"/>
          <w:b/>
          <w:i/>
          <w:color w:val="000000"/>
          <w:sz w:val="20"/>
        </w:rPr>
      </w:pPr>
      <w:r>
        <w:rPr>
          <w:rFonts w:ascii="Times New Roman" w:hAnsi="Times New Roman"/>
          <w:b/>
          <w:i/>
          <w:color w:val="000000"/>
          <w:sz w:val="20"/>
        </w:rPr>
        <w:t>Partnered programs update</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Servier: anti-CD19 CAR-T (cema-cel)</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April 2026, Allogene Therapeutics, Inc. (“Allogene”), Servier’s sublicensee, announced the interim futility analysis from its sponsored pivotal ALPHA3 trial evaluating cema-cel in first-line consolidation for large B-cell lymphoma. Cema-cel is a product candidate licensed to Servier under the License, Development and Commercialization Agreement signed by and between Les Laboratoires Servier and Institut de Recherches Internationales Servier (“Servier”) and Cellectis (the “Servier Agreement”) and sublicensed by Servier to Allogene in certain territories.</w:t>
      </w:r>
    </w:p>
    <w:p>
      <w:pPr>
        <w:pStyle w:val="TextBody"/>
        <w:bidi w:val="0"/>
        <w:jc w:val="both"/>
        <w:rPr>
          <w:rFonts w:ascii="Times New Roman" w:hAnsi="Times New Roman"/>
          <w:color w:val="000000"/>
          <w:sz w:val="20"/>
        </w:rPr>
      </w:pPr>
      <w:r>
        <w:rPr>
          <w:rFonts w:ascii="Times New Roman" w:hAnsi="Times New Roman"/>
          <w:color w:val="000000"/>
          <w:sz w:val="20"/>
        </w:rPr>
        <w:t>Allogene announced the futility analysis, which was triggered by the protocol-defined data cutoff of the 24th patient completing Day 45 minimal residual disease (“MRD”) assessment, showed that 58.3% (7/12) of patients in the cema-cel arm achieved MRD negativity compared to 16.7% (2/12) in the observation arm, representing a 41.6% absolute difference in MRD clearance between the arms. Allogene further announced that the cema-cel treatment was generally well-tolerated as of the cutoff, with most patients (10/12) managed in the outpatient setting post-infusion, no cases of cytokine release syndrome (CRS), immune effector cell-associated neurotoxicity syndrome (ICANS), graft-versus-host disease (GvHD) or treatment-related Serious Adverse Events, and no hospitalizations for treatment-related Adverse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Allogene announced that the FDA has granted Regenerative Medicine Advanced Therapy (RMAT) and Fast Track designations to cema-cel for the treatment of adult patients with LBCL who, at the completion of first-line (1L) therapy, are in complete or partial response suitable for observation but test positive for minimal residual disease (MRD).</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Allogene: anti-CD70 CAR-T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2026, Allogene announced the publication of complete Phase 1 data from the TRAVERSE study of ALLO-316 in advanced or metastatic renal cell carcinoma (RCC) in the </w:t>
      </w:r>
      <w:r>
        <w:rPr>
          <w:rFonts w:ascii="Times New Roman" w:hAnsi="Times New Roman"/>
          <w:i/>
          <w:color w:val="000000"/>
          <w:sz w:val="20"/>
        </w:rPr>
        <w:t>Journal of Clinical Oncology</w:t>
      </w:r>
      <w:r>
        <w:rPr>
          <w:rFonts w:ascii="Times New Roman" w:hAnsi="Times New Roman"/>
          <w:color w:val="000000"/>
          <w:sz w:val="20"/>
        </w:rPr>
        <w:t>. Allogene announced that ALLO-316 achieved a 31% confirmed response rate with the recommended Phase 2 regimen in patients with Stage IV RCC with high CD70 expression, and that the safety profile was manageable with proactive diagnostic and management strategies effective in mitigating IEC-HS. Allogene’s investigational allogeneic CAR-T oncology products utilize Cellectis technologies. The anti-CD70 program is licensed exclusively from Cellectis by Allogene and Allogene holds global development and commercial rights to this program.</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Iovance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2026, Iovance announced that a Phase 1/2 trial, IOV-GM1-201, is enrolling using IOV-4001, a PD-1 inactivated TIL therapy, in previously treated advanced melanoma and NSCLC.</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AstraZeneca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Activities are continuing under the Joint Research and Collaboration Agreement with AstraZeneca, which leverages Cellectis’ gene editing expertise and manufacturing capabilities to develop up to 10 novel cell and gene therapy products for areas of high unmet medical need, including oncology, immunology and rare genetic disorders.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 discussion of our operating capital requirements and funding sources, please see “Liquidity and Capital Resources”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hemato-oncology field of our clinical stage product candidates has continued to attract new actors and expanded clinical activity industry-wide, and we continue to monitor the implications of this evolving competitive environment for our own pipeline prioritization.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events of the six-month period ended June 30, 2026</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BALLI-01 Study (lasme-cel)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Cellectis received FDA Regenerative Medicine Advanced Therapy (RMAT) designation for lasme-cel for treatment of r/r CD22 positive B-ALL. This designation was granted based on the Phase 1 BALLI-01 clinical data, demonstrating promising efficacy and a manageable safety profile. It reflects the FDA's recognition of the potential of lasme-cel to address the unmet medical need faced by patients with r/r B-ALL.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Cellectis presented full Phase 1 data from the BALLI-01 trial at an oral presentation at the European Hematology Association (EHA) 2026 Annual Congress. 45 patients were treated in third line and beyond (3L+), including 15 at the recommended Phase 2 dose (RP2D), and 7 in the target Phase 2 population. Patients were heavily pretreated with those in the target Phase 2 population receiving a median of 5 prior lines of therapy (range 2-11); 82% of patients were previously treated with blinatumomab, 53% with CD19 CAR-T, 56% with CD22-directed antibody-drug conjugate (ADC) and 47% had a prior hematopoietic stem cell transplantation (HSCT). In the target Phase 2 population, an overall response rate (ORR) of 100% (7/7) was achieved with a complete remission/complete remission with incomplete count recovery (CR/CRi) rate of 57% (4/7), of whom 75% achieved minimal residual disease (MRD) negative status. All responding patients proceeded to HSCT. Lasme-cel demonstrated a manageable safety profile, with grade ≥ 3 cytokine release syndrome (CRS) and Immune effector cell-associated neurotoxicity syndrome (ICANS), each occurring in 4% of patients. Immune effector cell-associated hemophagocytic lymphohistiocytosis-like syndrome (IEC-HS) ≥ grade 3 occurred in 2% of patients. All events were resolved.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the UK MHRA approved the initiation of the Phase 2 study of BALLI-01 in the UK.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enrollments in the Phase 2 BALLI-01 study in France, Italy and Spain have been authorized.</w:t>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NATHALI-01 Study (eti-cel)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Cellectis presented translational data highlighting the key drivers of response at a poster presentation at the EHA 2026 annual congress. As of the February 2026 data cutoff, 14 patients with r/r B-NHL had been treated across three dose levels, in a heavily pretreated population with a median of 3 prior lines of therapy, 93% of whom had received prior CD19-directed CAR-T therapy. In the optimal dose cohort (n=8), ORR and complete response (CR) were 88% and 63%, respectively. The analysis identified that higher alemtuzumab exposure was associated with a lower inflammatory homeostatic milieu prior to eti-cel infusion, enhanced eti-cel expansion, and higher response rates. Additionally, responders demonstrated sustained low</w:t>
        <w:noBreakHyphen/>
        <w:t>level interleukin 2 (IL</w:t>
        <w:noBreakHyphen/>
        <w:t xml:space="preserve">2) secretion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versus non-responders. These findings support a weight-based alemtuzumab dosing regimen, currently under investigation to optimize lymphodepletion. Subcutaneous low-dose IL-2 is also being evaluated to further enhance eti-cel expansion and response.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Cellectis continues to focus on the enrollment of patients in the BALLI-01 (lasme-cel) and NATHALI-01 (eti-cel) studies.</w:t>
      </w:r>
    </w:p>
    <w:p>
      <w:pPr>
        <w:pStyle w:val="TextBody"/>
        <w:bidi w:val="0"/>
        <w:jc w:val="both"/>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Changes to the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shareholder meeting which took place on June 25, 2026, approved the renewal of Mr. Jean-Pierre Garnier, Mr. Laurent Arthaud, Mr. Rainer Boehm and Ms. Cécile Chartier as members of the Board of Directors of Cellectis.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events post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net losses in nearly each year since our inception. Substantially all of our net operating losses resulted from costs incurred in connection with our development programs and from selling, general and administrative expenses associated with our operations. As we continue our intensive research and development programs, we expect to continue to incur significant expenses and expect to incur losses for the foreseeable future. As we assess the evolving competitive landscape for our allogeneic CAR-T product candidates, including the entry of additional competitors and potential market saturation, such factors may result in adjustments in the pace or focus of our research and development investments.</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factors drive our anticipated expenses, including: </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progression of our clinical trials BALLI-01, and NATHALI-01;</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continuation of the advancement of the research and development of our current and future immuno-oncology product candidates; </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advancement of our research and development efforts for our cell and gene therapy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development and refinement of the manufacturing process for our immuno-oncology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our manufacturing facilities in Paris (France) and Raleigh (North Carolina, USA), continued production at our in-house manufacturing facilities and changes or additions of additional manufacturers or suppliers of biological materials to support our in-house manufacturing capabilities;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to seek regulatory and marketing approvals for our product candidates, if any, that successfully complete development;</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establishment of a sales, marketing and distribution infrastructure to commercialize any products for which we may obtain marketing approval;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research and development across programs to seek to identify and validate additional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potential acquisition or in-licensing of other product candidates, technologies or biological material;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possible milestone or other payments that may be need to be paid under any in-license agreements;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maintenance, protection and expansion of our intellectual property portfolio;</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seeking to attract and retain new and existing skilled personnel;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possibility that we experience any delays or encounter issues with any of the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expect to generate material revenues from sales of our therapeutic product candidates unless and until we successfully complete development of, and obtain marketing approval for, one or more of our product candidates, which we expect will take a number of years and is subject to significant uncertainty. Accordingly, we anticipate that we will need to raise additional capital prior to completing clinical development of any of our therapeutic product candidates. Until such time that we can generate substantial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from sales of our product candidates, if ever, we expect to finance our operating activities through a combination of milestone payments received pursuant to our collaboration and license agreements, equity offerings, debt financings, government or other third-party funding and new collaborations, and licensing arrangements. However,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 rights to develop or market product candidates that we would otherwise prefer to develop and market ourselves. Failure to receive additional funding could cause us to cease operations, in part or in full.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interim condensed consolidated financial statements for the six-month period ended June 30, 2026 have been prepared in accordance with International Accounting Standard 34 ("IAS 34") - Interim Financial Reporting, as issued by the International Accounting Standards Board, or IASB.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for the six-month periods ended June 30, 2025 and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Revenues</w:t>
      </w:r>
    </w:p>
    <w:tbl>
      <w:tblPr>
        <w:tblW w:w="6430" w:type="dxa"/>
        <w:jc w:val="left"/>
        <w:tblInd w:w="0" w:type="dxa"/>
        <w:tblLayout w:type="fixed"/>
        <w:tblCellMar>
          <w:top w:w="28" w:type="dxa"/>
          <w:left w:w="28" w:type="dxa"/>
          <w:bottom w:w="28" w:type="dxa"/>
          <w:right w:w="28" w:type="dxa"/>
        </w:tblCellMar>
      </w:tblPr>
      <w:tblGrid>
        <w:gridCol w:w="1921"/>
        <w:gridCol w:w="208"/>
        <w:gridCol w:w="208"/>
        <w:gridCol w:w="858"/>
        <w:gridCol w:w="208"/>
        <w:gridCol w:w="208"/>
        <w:gridCol w:w="208"/>
        <w:gridCol w:w="858"/>
        <w:gridCol w:w="246"/>
        <w:gridCol w:w="246"/>
        <w:gridCol w:w="188"/>
        <w:gridCol w:w="742"/>
        <w:gridCol w:w="331"/>
      </w:tblGrid>
      <w:tr>
        <w:trPr/>
        <w:tc>
          <w:tcPr>
            <w:tcW w:w="19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agreements</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10,669</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27,380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11,006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were $11.0 million for the six-month period ended June 30, 2026, primarily reflecting the recognition of $10.7 million related to performance obligations satisfied under the Research Plans of the AZ JRCA with AZ Ireland, compared with $26.9 million recognized during the corresponding period in 2025. The $16.4 million decrease in revenues was primarily driven by the level of activities performed under the Research Plans during the period.</w:t>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w:t>
      </w:r>
    </w:p>
    <w:tbl>
      <w:tblPr>
        <w:tblW w:w="5769" w:type="dxa"/>
        <w:jc w:val="left"/>
        <w:tblInd w:w="0" w:type="dxa"/>
        <w:tblLayout w:type="fixed"/>
        <w:tblCellMar>
          <w:top w:w="28" w:type="dxa"/>
          <w:left w:w="28" w:type="dxa"/>
          <w:bottom w:w="28" w:type="dxa"/>
          <w:right w:w="28" w:type="dxa"/>
        </w:tblCellMar>
      </w:tblPr>
      <w:tblGrid>
        <w:gridCol w:w="1456"/>
        <w:gridCol w:w="230"/>
        <w:gridCol w:w="230"/>
        <w:gridCol w:w="805"/>
        <w:gridCol w:w="230"/>
        <w:gridCol w:w="230"/>
        <w:gridCol w:w="230"/>
        <w:gridCol w:w="805"/>
        <w:gridCol w:w="146"/>
        <w:gridCol w:w="146"/>
        <w:gridCol w:w="239"/>
        <w:gridCol w:w="691"/>
        <w:gridCol w:w="331"/>
      </w:tblGrid>
      <w:tr>
        <w:trPr/>
        <w:tc>
          <w:tcPr>
            <w:tcW w:w="14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tax credit</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2,842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$0.6 million increase in other income between the six-month periods ended June 30, 2025 and 2026 was primarily attributable to a higher research tax credit resulting from increased eligible R&amp;D expenses, as well as favorable foreign exchange effects. </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expenses</w:t>
      </w:r>
    </w:p>
    <w:tbl>
      <w:tblPr>
        <w:tblW w:w="9491" w:type="dxa"/>
        <w:jc w:val="left"/>
        <w:tblInd w:w="0" w:type="dxa"/>
        <w:tblLayout w:type="fixed"/>
        <w:tblCellMar>
          <w:top w:w="28" w:type="dxa"/>
          <w:left w:w="28" w:type="dxa"/>
          <w:bottom w:w="28" w:type="dxa"/>
          <w:right w:w="28" w:type="dxa"/>
        </w:tblCellMar>
      </w:tblPr>
      <w:tblGrid>
        <w:gridCol w:w="5161"/>
        <w:gridCol w:w="194"/>
        <w:gridCol w:w="194"/>
        <w:gridCol w:w="880"/>
        <w:gridCol w:w="221"/>
        <w:gridCol w:w="194"/>
        <w:gridCol w:w="194"/>
        <w:gridCol w:w="880"/>
        <w:gridCol w:w="166"/>
        <w:gridCol w:w="146"/>
        <w:gridCol w:w="215"/>
        <w:gridCol w:w="715"/>
        <w:gridCol w:w="331"/>
      </w:tblGrid>
      <w:tr>
        <w:trPr/>
        <w:tc>
          <w:tcPr>
            <w:tcW w:w="51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external expenses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expenses (incl. right of use amortization)</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Research and development expenses</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(45,012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(52,165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six-month period ended June 30, 2026, research and development expenses increased to $52.2 million from $45.0 million in the corresponding period in 2025. The $7.2 million increase was primarily attributable to higher personnel expenses and higher purchases and external expenses, partially offset by a decrease in depreciation and amortization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Personnel expenses increased by $4.5 million, from $19.3 million in 2025 to $23.8 million in 2026, reflecting changes in our R&amp;D headcount and higher stock-based compensation expense associated with awards granted in 2026, whose grant-date fair value increased due to a higher underlying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Purchases and external expenses increased by $3.7 million, from $16.1 million in 2025 to $19.8 million in 2026, primarily attributable to higher clinical development costs related to our BALLI-01 and NATHALI-01 studies.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increases were partially offset by a $1.0 million decrease in depreciation and amortization expenses, primarily attributable to the expiration in January 2026 of the contractual lease term for equipment at our Raleigh manufacturing facility.</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Selling, general and administrative expenses</w:t>
      </w:r>
    </w:p>
    <w:tbl>
      <w:tblPr>
        <w:tblW w:w="9492" w:type="dxa"/>
        <w:jc w:val="left"/>
        <w:tblInd w:w="0" w:type="dxa"/>
        <w:tblLayout w:type="fixed"/>
        <w:tblCellMar>
          <w:top w:w="28" w:type="dxa"/>
          <w:left w:w="28" w:type="dxa"/>
          <w:bottom w:w="28" w:type="dxa"/>
          <w:right w:w="28" w:type="dxa"/>
        </w:tblCellMar>
      </w:tblPr>
      <w:tblGrid>
        <w:gridCol w:w="5161"/>
        <w:gridCol w:w="203"/>
        <w:gridCol w:w="203"/>
        <w:gridCol w:w="795"/>
        <w:gridCol w:w="231"/>
        <w:gridCol w:w="203"/>
        <w:gridCol w:w="203"/>
        <w:gridCol w:w="920"/>
        <w:gridCol w:w="166"/>
        <w:gridCol w:w="146"/>
        <w:gridCol w:w="239"/>
        <w:gridCol w:w="691"/>
        <w:gridCol w:w="331"/>
      </w:tblGrid>
      <w:tr>
        <w:trPr/>
        <w:tc>
          <w:tcPr>
            <w:tcW w:w="51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external expenses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expenses (incl. right of use amortization)</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Selling, general and administrative expenses</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(9,780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six-month period ended June 30, 2026, selling, general and administrative expenses increased to $11.3 million from $9.8 million in the corresponding period in 2025. The $1.5 million increase was primarily attributable to a $1.2 million increase in personnel expenses, mainly reflecting higher stock-based compensation expense associated with awards granted in 2026, whose grant-date fair value increased due to a higher underlying share price.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operating income</w:t>
      </w:r>
    </w:p>
    <w:tbl>
      <w:tblPr>
        <w:tblW w:w="6249" w:type="dxa"/>
        <w:jc w:val="left"/>
        <w:tblInd w:w="0" w:type="dxa"/>
        <w:tblLayout w:type="fixed"/>
        <w:tblCellMar>
          <w:top w:w="28" w:type="dxa"/>
          <w:left w:w="28" w:type="dxa"/>
          <w:bottom w:w="28" w:type="dxa"/>
          <w:right w:w="28" w:type="dxa"/>
        </w:tblCellMar>
      </w:tblPr>
      <w:tblGrid>
        <w:gridCol w:w="1936"/>
        <w:gridCol w:w="272"/>
        <w:gridCol w:w="272"/>
        <w:gridCol w:w="700"/>
        <w:gridCol w:w="272"/>
        <w:gridCol w:w="272"/>
        <w:gridCol w:w="272"/>
        <w:gridCol w:w="700"/>
        <w:gridCol w:w="146"/>
        <w:gridCol w:w="146"/>
        <w:gridCol w:w="215"/>
        <w:gridCol w:w="715"/>
        <w:gridCol w:w="331"/>
      </w:tblGrid>
      <w:tr>
        <w:trPr/>
        <w:tc>
          <w:tcPr>
            <w:tcW w:w="19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income</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the six-month periods ended June 30, 2025 and 2026, the other operating income decreased by $0.5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Net financial gain (loss)</w:t>
      </w:r>
    </w:p>
    <w:tbl>
      <w:tblPr>
        <w:tblW w:w="6297" w:type="dxa"/>
        <w:jc w:val="left"/>
        <w:tblInd w:w="0" w:type="dxa"/>
        <w:tblLayout w:type="fixed"/>
        <w:tblCellMar>
          <w:top w:w="28" w:type="dxa"/>
          <w:left w:w="28" w:type="dxa"/>
          <w:bottom w:w="28" w:type="dxa"/>
          <w:right w:w="28" w:type="dxa"/>
        </w:tblCellMar>
      </w:tblPr>
      <w:tblGrid>
        <w:gridCol w:w="1966"/>
        <w:gridCol w:w="200"/>
        <w:gridCol w:w="200"/>
        <w:gridCol w:w="907"/>
        <w:gridCol w:w="227"/>
        <w:gridCol w:w="200"/>
        <w:gridCol w:w="200"/>
        <w:gridCol w:w="824"/>
        <w:gridCol w:w="166"/>
        <w:gridCol w:w="146"/>
        <w:gridCol w:w="188"/>
        <w:gridCol w:w="742"/>
        <w:gridCol w:w="331"/>
      </w:tblGrid>
      <w:tr>
        <w:trPr/>
        <w:tc>
          <w:tcPr>
            <w:tcW w:w="19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income</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expenses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Financial gain (loss)</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(18,098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-150.7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the six-month periods ended June 30, 2025 and 2026, the net financial gain (loss) improved by $27.3 million, from a net financial loss of $18.1 million to a net financial gain of $9.2 million, due to a $5.0 million increase in financial income and a $22.3 million decrease in financial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$5.0 million increase in financial income was primarily attributable to (i) a $7.0 million increase in non-cash gains recognized from fair value measurements, mainly reflecting an $8.7 million gain on the fair value measurement of the Tranche A, B and C warrants issued to the European Investment Bank ("EIB") (see note 12) in the six months ended June 30, 2026, compared with a $1.2 million gain in the same period in 2025, partially offset by (ii) a $1.7 million decrease in interest income earned on cash, cash equivalents and financial assets, and (iii) a $0.4 million decrease in foreign exchange gains.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$22.3 million decrease in financial expenses was primarily attributable to a $22.8 million decrease in foreign exchange losses, mainly resulting from the appreciation of the US dollar against the euro.</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income tax rate for the six-month period ended June 30, 2026 is -0.2%, compared with 0.0% for the six-month period ended June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income (loss)</w:t>
      </w:r>
    </w:p>
    <w:tbl>
      <w:tblPr>
        <w:tblW w:w="5021" w:type="dxa"/>
        <w:jc w:val="left"/>
        <w:tblInd w:w="0" w:type="dxa"/>
        <w:tblLayout w:type="fixed"/>
        <w:tblCellMar>
          <w:top w:w="28" w:type="dxa"/>
          <w:left w:w="28" w:type="dxa"/>
          <w:bottom w:w="28" w:type="dxa"/>
          <w:right w:w="28" w:type="dxa"/>
        </w:tblCellMar>
      </w:tblPr>
      <w:tblGrid>
        <w:gridCol w:w="721"/>
        <w:gridCol w:w="194"/>
        <w:gridCol w:w="194"/>
        <w:gridCol w:w="880"/>
        <w:gridCol w:w="221"/>
        <w:gridCol w:w="194"/>
        <w:gridCol w:w="194"/>
        <w:gridCol w:w="880"/>
        <w:gridCol w:w="166"/>
        <w:gridCol w:w="146"/>
        <w:gridCol w:w="252"/>
        <w:gridCol w:w="678"/>
        <w:gridCol w:w="301"/>
      </w:tblGrid>
      <w:tr>
        <w:trPr/>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(41,863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$2.3 million decrease in net loss, from $41.9 million in the six-month period ended June 30, 2025 to $39.6 million in the six-month period ended June 30, 2026 was mainly due to (i) a $27.3 million improvement in net financial result, from a net financial loss of $18.1 million as of June 30, 2025 to a net financial gain of $9.2 million as of June 30, 2026, partly offset by (ii) a $24.9 million increase in operating loss.</w:t>
      </w:r>
    </w:p>
    <w:p>
      <w:pPr>
        <w:pStyle w:val="TextBody"/>
        <w:bidi w:val="0"/>
        <w:ind w:left="0" w:right="0" w:firstLine="49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Introduction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losses and cumulative negative cash flows from operations in nearly each year since our inception in 2000, and we anticipate that we will continue to incur losses for at least the next several years. We expect that our research and development and selling, general and administrative expenses will continue to increase and, as a result, we will need additional capital to fund our operations, which we may raise through a combination of equity offerings, debt financings, other third-party funding, marketing and distribution arrangements and other collaborations, alliances and licensing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funded our operations since inception primarily through private and public offerings of our equity securities, debt financings, government grants (including payments of research tax credits), and payments received under collaboration and licensing agreements with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ordinary shares have been traded on the Euronext Growth market of Euronext in Paris since February 7, 2007, and our ADSs have traded on the Nasdaq Global Market in New York since March 30, 2015.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and cash equivalents of $35.6 million and fixed-term deposits of $131.1 million classified as current financial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in excess of immediate requirements is invested in accordance with our investment policy, primarily with a view to liquidity and capital preservation. As of June 30, 2026, our cash and cash equivalents were held in bank accounts and fixed-term bank deposits, primarily located in France. The portion of cash and cash equivalents, fixed term deposits and restricted cash denominated in U.S. dollars is $106.0 million as of June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Historical Changes in 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 below summarizes our sources and uses of cash for the six-month periods ended June 30, 2025 and 2026.</w:t>
      </w:r>
    </w:p>
    <w:p>
      <w:pPr>
        <w:pStyle w:val="TextBody"/>
        <w:bidi w:val="0"/>
        <w:spacing w:before="120" w:after="283"/>
        <w:jc w:val="both"/>
        <w:rPr/>
      </w:pPr>
      <w:r>
        <w:rPr/>
        <w:t> </w:t>
      </w:r>
    </w:p>
    <w:tbl>
      <w:tblPr>
        <w:tblW w:w="8229" w:type="dxa"/>
        <w:jc w:val="left"/>
        <w:tblInd w:w="0" w:type="dxa"/>
        <w:tblLayout w:type="fixed"/>
        <w:tblCellMar>
          <w:top w:w="28" w:type="dxa"/>
          <w:left w:w="28" w:type="dxa"/>
          <w:bottom w:w="28" w:type="dxa"/>
          <w:right w:w="28" w:type="dxa"/>
        </w:tblCellMar>
      </w:tblPr>
      <w:tblGrid>
        <w:gridCol w:w="5261"/>
        <w:gridCol w:w="269"/>
        <w:gridCol w:w="159"/>
        <w:gridCol w:w="805"/>
        <w:gridCol w:w="291"/>
        <w:gridCol w:w="269"/>
        <w:gridCol w:w="159"/>
        <w:gridCol w:w="805"/>
        <w:gridCol w:w="211"/>
      </w:tblGrid>
      <w:tr>
        <w:trPr/>
        <w:tc>
          <w:tcPr>
            <w:tcW w:w="52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(27,470</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from (used in) investing activities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financing activities</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6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Effects of exchange rate changes on cash and cash equivalents</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six-month period ended June 30, 2026, net cash used in operating activities of $29.7 million was primarily driven by payments to suppliers of $26.9 million and payroll-related payments (including salaries, bonuses and social charges) totaling $28.5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million, partially offset by $16.8 million of cash received from customers, $4.9 million of interest received on financial investments, $1.9 million from VAT credit reimbursements and $1.2 million of reimbursements of social charges on forfeited stock options following the favorable resolution of a claim with the French social tax authorities.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six-month period ended June 30, 2025, net cash used in operating activities of $27.5 million was primarily driven by payments to suppliers of $23.2 million, and payroll-related payments (including salaries, bonuses and social charges) totaling $23.6 million, partially offset by $13.4 million of cash received from customers and $5.1 million of income on financial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2026, net cash provided by investing activities of $12.5 million primarily reflected the net proceeds from fixed-term bank deposits (classified as current financial assets in the interim condensed statement of consolidated financial position) of $10.9 million and cash inflows of $2.0 million from other current financial assets previously subject to restrictions (restricted cash), partially offset by $0.5 million of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2025, net cash used in investing activities of $48.5 million primarily reflected the net investments in fixed-term bank deposits (classified as current and non-current financial assets in the interim condensed statement of consolidated financial position) of $47.8 million and capital expenditures of $0.7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2026, our net cash used in financing activities of $8.2 million primarily reflected repayments of $2.7 million under the "PGE" loan, and lease liability payments of $5.4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2025, net cash used in financing activities of $8.4 million primarily reflected repayments of $2.6 million under the "PGE" loan and lease liability payments of $5.4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capital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cash consumption is driven by our internal operational activities, including manufacturing activity conducted at our in-house manufacturing facilities, as well as our outsourced activities, including the pre-clinical research and development activities, manufacturing and technology transfer expenses payable to CMO providers, costs and expenses associated with our clinical trials, including payments to clinical research centers (CROs) involved in the clinical trials, and third-parties providing logistics and testing services. In addition, we incur significant annual payments and royalty expenses related to our in-licensing agreements with different parties including Life Technologies and University of Minnesota. We also incur substantial expenses related to audit, legal, regulatory and tax related services associated with our public company obligations in the United States and our continued compliance with applicable U.S. exchange listing and SEC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generated any revenues from therapeutic product sales. In addition to our cash generated by operations (including payments under our collaboration agreements), we have funded our operations since inception primarily through private and public offerings of our equity securities, debt financings, government grants (including payments of research tax credits), and payments received under collaboration and licensing agreements with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know when, or if, we will generate any revenues from therapeutic product sales. We do not expect to generate significant revenues from product sales unless and until we obtain regulatory approval of and commercialize one of our current or future therapeutic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all risks associated with the development of new gene therapy products, and we may encounter unforeseen expenses, difficulties, complications, delays and other unknown factors that may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that we will need additional funding in connection with our continuing operations, including for the further development of our existing product candidates and to pursue other development activities related to additional product candidates.</w:t>
      </w:r>
    </w:p>
    <w:p>
      <w:pPr>
        <w:pStyle w:val="TextBody"/>
        <w:bidi w:val="0"/>
        <w:ind w:left="0" w:right="0" w:firstLine="7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cash and cash equivalents of $35.6 million and deposits of $131.1 million as of June 30, 2026, the Company believes its cash and cash equivalents and deposits will be sufficient to fund its operations into the fourth quarter 2027 and therefore for at least twelve months following the unaudited interim condensed consolidated financial statements' publication.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assessment of the period of time through which our financial resources will be adequate to support our operations is a forward-looking statement and involves risks and uncertainties, and actual results could vary as a result of a number of factors. We have 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estimate on assumptions that may prove to be wrong, and we could use our available capital resources sooner than we currently expect. Our future funding requirements, both near and long-term, will depend on many factors, including, but not limited to:</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timing, costs and results of pre-clinical and clinic studies for our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capacity of manufacturing our products in France and in the United States;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regulatory approvals by U.S. and non-U.S. regulatory authorities, including the possibility that regulatory authorities will require that we perform more studies than those that we currently expect;</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product candidates to progress through clinical development successfully;</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filing, prosecuting, defending and enforcing any patent claims and other intellectual property rights;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defending any litigations or the outcome of any litigations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and ability to hire additional personnel;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implement additional infrastructure and internal systems, including manufacturing processes for our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including increasing competitive density in the hemato-oncology field, which could influence how we prioritize capital among our immuno-oncology and other gene therapy programs;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establishing sales, marketing and distribution capabilities for any products for which we may receive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cannot expand our operations or otherwise capitalize on our business opportunities because we lack sufficient capital, our business, financial condition and results of operations could be materially adversely affected.</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do not have any off-balance sheet arrangements as defined under SEC rules.</w:t>
      </w:r>
    </w:p>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bookmarkStart w:id="8" w:name="item3_quantitative_and_qualitative_disc"/>
      <w:bookmarkEnd w:id="8"/>
      <w:r>
        <w:rPr>
          <w:rFonts w:ascii="Times New Roman" w:hAnsi="Times New Roman"/>
          <w:b/>
          <w:color w:val="000000"/>
          <w:sz w:val="20"/>
        </w:rPr>
        <w:t>Item 3. Quantitative and Qualitative Disclosures About Market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quantitative and qualitative disclosures about market risk that affect us, see “Quantitative and Qualitative Disclosures About Market Risk" in Item11 of Part I of the Annual Report. There have been no material changes in information that would have been provided in the context of Item 3 from the end of the preceding year until June 30, 2026.</w:t>
      </w:r>
    </w:p>
    <w:p>
      <w:pPr>
        <w:pStyle w:val="TextBody"/>
        <w:bidi w:val="0"/>
        <w:spacing w:before="360" w:after="283"/>
        <w:jc w:val="both"/>
        <w:rPr>
          <w:rFonts w:ascii="Times New Roman" w:hAnsi="Times New Roman"/>
          <w:b/>
          <w:color w:val="000000"/>
          <w:sz w:val="20"/>
        </w:rPr>
      </w:pPr>
      <w:bookmarkStart w:id="9" w:name="item4_controls"/>
      <w:bookmarkEnd w:id="9"/>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and the effectiveness of our internal control over financial reporting at the end of each fiscal year. We issued management’s annual report on internal control over financial reporting, pursuant to Section 404 of the Sarbanes-Oxley Act, as of December 31, 2025.</w:t>
      </w:r>
    </w:p>
    <w:p>
      <w:pPr>
        <w:pStyle w:val="TextBody"/>
        <w:bidi w:val="0"/>
        <w:spacing w:before="240" w:after="283"/>
        <w:ind w:left="0" w:right="0" w:firstLine="49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partii"/>
      <w:bookmarkEnd w:id="10"/>
      <w:r>
        <w:rPr>
          <w:rFonts w:ascii="Times New Roman" w:hAnsi="Times New Roman"/>
          <w:b/>
          <w:color w:val="000000"/>
          <w:sz w:val="20"/>
        </w:rPr>
        <w:t>PART II – OTHER INFORMATION</w:t>
      </w:r>
    </w:p>
    <w:p>
      <w:pPr>
        <w:pStyle w:val="TextBody"/>
        <w:bidi w:val="0"/>
        <w:spacing w:before="120" w:after="283"/>
        <w:jc w:val="both"/>
        <w:rPr>
          <w:rFonts w:ascii="Times New Roman" w:hAnsi="Times New Roman"/>
          <w:b/>
          <w:color w:val="000000"/>
          <w:sz w:val="20"/>
        </w:rPr>
      </w:pPr>
      <w:bookmarkStart w:id="11" w:name="item1_legal_proceedings"/>
      <w:bookmarkEnd w:id="11"/>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involved in various claims and legal proceedings relating to claims arising out of our operations. See “Part I – Financial Information—Item 1. Unaudited Interim Condensed Consolidated Financial Statements—Note. 18. Provisions,” which updates and supplements the information regarding the Legal Matters in Part I, Item 8. of our Annual Report. Regardless of outcome, litigation can have an adverse impact on us because of defense and settlement costs, diversion of management resources and other factors. See “Note 18. Provisions”</w:t>
      </w:r>
    </w:p>
    <w:p>
      <w:pPr>
        <w:pStyle w:val="TextBody"/>
        <w:bidi w:val="0"/>
        <w:spacing w:before="120" w:after="283"/>
        <w:jc w:val="both"/>
        <w:rPr/>
      </w:pPr>
      <w:r>
        <w:rPr/>
        <w:t> </w:t>
      </w:r>
    </w:p>
    <w:p>
      <w:pPr>
        <w:pStyle w:val="TextBody"/>
        <w:bidi w:val="0"/>
        <w:jc w:val="left"/>
        <w:rPr>
          <w:rFonts w:ascii="Times New Roman" w:hAnsi="Times New Roman"/>
          <w:b/>
          <w:color w:val="000000"/>
          <w:sz w:val="20"/>
        </w:rPr>
      </w:pPr>
      <w:bookmarkStart w:id="12" w:name="item1a"/>
      <w:bookmarkEnd w:id="12"/>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material changes to the risk factors described in Item 3.D. of Cellectis’ Annual Report on Form 20-F for the year ended December 31, 2025.</w:t>
      </w:r>
    </w:p>
    <w:p>
      <w:pPr>
        <w:pStyle w:val="TextBody"/>
        <w:bidi w:val="0"/>
        <w:spacing w:before="360" w:after="283"/>
        <w:jc w:val="both"/>
        <w:rPr>
          <w:rFonts w:ascii="Times New Roman" w:hAnsi="Times New Roman"/>
          <w:b/>
          <w:color w:val="000000"/>
          <w:sz w:val="20"/>
        </w:rPr>
      </w:pPr>
      <w:bookmarkStart w:id="13" w:name="item2"/>
      <w:bookmarkEnd w:id="13"/>
      <w:r>
        <w:rPr>
          <w:rFonts w:ascii="Times New Roman" w:hAnsi="Times New Roman"/>
          <w:b/>
          <w:color w:val="000000"/>
          <w:sz w:val="20"/>
        </w:rPr>
        <w:t>Item 2. Unregistered Sales of Equity Securities and Use of Proceeds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4" w:name="item3"/>
      <w:bookmarkEnd w:id="14"/>
      <w:r>
        <w:rPr>
          <w:rFonts w:ascii="Times New Roman" w:hAnsi="Times New Roman"/>
          <w:b/>
          <w:color w:val="000000"/>
          <w:sz w:val="20"/>
        </w:rPr>
        <w:t>Item 3. Defaults Upon Senior Securities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5" w:name="item4"/>
      <w:bookmarkEnd w:id="15"/>
      <w:r>
        <w:rPr>
          <w:rFonts w:ascii="Times New Roman" w:hAnsi="Times New Roman"/>
          <w:b/>
          <w:color w:val="000000"/>
          <w:sz w:val="20"/>
        </w:rPr>
        <w:t>Item 4. Mine Safety Disclosures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6" w:name="item5"/>
      <w:bookmarkEnd w:id="16"/>
      <w:r>
        <w:rPr>
          <w:rFonts w:ascii="Times New Roman" w:hAnsi="Times New Roman"/>
          <w:b/>
          <w:color w:val="000000"/>
          <w:sz w:val="20"/>
        </w:rPr>
        <w:t>Item 5. Other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7" w:name="item6"/>
      <w:bookmarkEnd w:id="17"/>
      <w:r>
        <w:rPr>
          <w:rFonts w:ascii="Times New Roman" w:hAnsi="Times New Roman"/>
          <w:b/>
          <w:color w:val="000000"/>
          <w:sz w:val="20"/>
        </w:rPr>
        <w:t>Item 6. Exhibits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20571</Words>
  <Characters>110719</Characters>
  <CharactersWithSpaces>133312</CharactersWithSpaces>
  <Paragraphs>8972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