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ls-20260806.htm"/>
      <w:bookmarkStart w:id="1" w:name="ksclls20260806"/>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0"/>
        </w:rPr>
        <w:t>As filed with the Securities and Exchange Commission on August 6,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296" w:type="dxa"/>
        <w:jc w:val="left"/>
        <w:tblInd w:w="0" w:type="dxa"/>
        <w:tblLayout w:type="fixed"/>
        <w:tblCellMar>
          <w:top w:w="28" w:type="dxa"/>
          <w:left w:w="28" w:type="dxa"/>
          <w:bottom w:w="28" w:type="dxa"/>
          <w:right w:w="28" w:type="dxa"/>
        </w:tblCellMar>
      </w:tblPr>
      <w:tblGrid>
        <w:gridCol w:w="2371"/>
        <w:gridCol w:w="109"/>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 rue de la Croix Jarry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75013 Paris, France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+33 1 81 69 16 00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2026 Stock Option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2026 Free Shares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Cellectis,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430 East 29</w:t>
      </w:r>
      <w:r>
        <w:rPr>
          <w:rFonts w:ascii="Times New Roman" w:hAnsi="Times New Roman"/>
          <w:b/>
          <w:color w:val="000000"/>
          <w:sz w:val="17"/>
        </w:rPr>
        <w:t>th</w:t>
      </w:r>
      <w:r>
        <w:rPr>
          <w:rFonts w:ascii="Times New Roman" w:hAnsi="Times New Roman"/>
          <w:color w:val="000000"/>
          <w:sz w:val="20"/>
        </w:rPr>
        <w:t xml:space="preserve"> </w:t>
      </w:r>
      <w:r>
        <w:rPr>
          <w:rFonts w:ascii="Times New Roman" w:hAnsi="Times New Roman"/>
          <w:b/>
          <w:color w:val="000000"/>
          <w:sz w:val="20"/>
        </w:rPr>
        <w:t>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New York, New York 10016</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(347) 908-5980</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91"/>
        <w:gridCol w:w="146"/>
        <w:gridCol w:w="1921"/>
        <w:gridCol w:w="146"/>
        <w:gridCol w:w="216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E. Devlin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Renaud Bonnet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Marie-Bleuenn Terrier</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Shoshana Litt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Jones Day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Jones Day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General Counsel</w:t>
            </w:r>
          </w:p>
        </w:tc>
      </w:tr>
      <w:tr>
        <w:trPr/>
        <w:tc>
          <w:tcPr>
            <w:tcW w:w="189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250 Vesey Street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rue Saint-Florentin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Cellectis S.A.</w:t>
            </w:r>
          </w:p>
        </w:tc>
      </w:tr>
      <w:tr>
        <w:trPr/>
        <w:tc>
          <w:tcPr>
            <w:tcW w:w="189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York, NY 10281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75001 Paris, France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 rue de la Croix Jarry</w:t>
            </w:r>
          </w:p>
        </w:tc>
      </w:tr>
      <w:tr>
        <w:trPr/>
        <w:tc>
          <w:tcPr>
            <w:tcW w:w="189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(212) 326-3939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 1 5659-3939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75013 Paris, France</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+33 1 81 69 16 00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567" w:type="dxa"/>
        <w:jc w:val="left"/>
        <w:tblInd w:w="0" w:type="dxa"/>
        <w:tblLayout w:type="fixed"/>
        <w:tblCellMar>
          <w:top w:w="28" w:type="dxa"/>
          <w:left w:w="28" w:type="dxa"/>
          <w:bottom w:w="28" w:type="dxa"/>
          <w:right w:w="28" w:type="dxa"/>
        </w:tblCellMar>
      </w:tblPr>
      <w:tblGrid>
        <w:gridCol w:w="2121"/>
        <w:gridCol w:w="286"/>
        <w:gridCol w:w="516"/>
        <w:gridCol w:w="286"/>
        <w:gridCol w:w="2511"/>
        <w:gridCol w:w="286"/>
        <w:gridCol w:w="561"/>
      </w:tblGrid>
      <w:tr>
        <w:trPr/>
        <w:tc>
          <w:tcPr>
            <w:tcW w:w="21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Large accelerated filer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Accelerated filer</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Non-accelerated filer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Smaller reporting company</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Emerging growth company</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12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specified in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plans covered by this Registration Statement as specified by Rule 428(b)(1) under the Securities Act. </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tbl>
      <w:tblPr>
        <w:tblW w:w="5867" w:type="dxa"/>
        <w:jc w:val="left"/>
        <w:tblInd w:w="0" w:type="dxa"/>
        <w:tblLayout w:type="fixed"/>
        <w:tblCellMar>
          <w:top w:w="28" w:type="dxa"/>
          <w:left w:w="28" w:type="dxa"/>
          <w:bottom w:w="28" w:type="dxa"/>
          <w:right w:w="28" w:type="dxa"/>
        </w:tblCellMar>
      </w:tblPr>
      <w:tblGrid>
        <w:gridCol w:w="841"/>
        <w:gridCol w:w="5026"/>
      </w:tblGrid>
      <w:tr>
        <w:trPr/>
        <w:tc>
          <w:tcPr>
            <w:tcW w:w="84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DOCUMENTS BY REFERENCE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following documents filed by Cellectis S.A. (the “</w:t>
      </w:r>
      <w:r>
        <w:rPr>
          <w:rFonts w:ascii="Times New Roman" w:hAnsi="Times New Roman"/>
          <w:b/>
          <w:i/>
          <w:color w:val="000000"/>
          <w:sz w:val="20"/>
        </w:rPr>
        <w:t>Registrant</w:t>
      </w:r>
      <w:r>
        <w:rPr>
          <w:rFonts w:ascii="Times New Roman" w:hAnsi="Times New Roman"/>
          <w:color w:val="000000"/>
          <w:sz w:val="20"/>
        </w:rPr>
        <w:t>”) with the U.S. Securities and Exchange Commission (the “</w:t>
      </w:r>
      <w:r>
        <w:rPr>
          <w:rFonts w:ascii="Times New Roman" w:hAnsi="Times New Roman"/>
          <w:b/>
          <w:i/>
          <w:color w:val="000000"/>
          <w:sz w:val="20"/>
        </w:rPr>
        <w:t>Commission</w:t>
      </w:r>
      <w:r>
        <w:rPr>
          <w:rFonts w:ascii="Times New Roman" w:hAnsi="Times New Roman"/>
          <w:color w:val="000000"/>
          <w:sz w:val="20"/>
        </w:rPr>
        <w:t xml:space="preserve">”) are incorporated by reference into this Registration Statement: </w:t>
      </w:r>
    </w:p>
    <w:p>
      <w:pPr>
        <w:pStyle w:val="TextBody"/>
        <w:bidi w:val="0"/>
        <w:spacing w:before="120" w:after="283"/>
        <w:jc w:val="left"/>
        <w:rPr/>
      </w:pPr>
      <w:r>
        <w:rPr>
          <w:rFonts w:ascii="Times New Roman" w:hAnsi="Times New Roman"/>
          <w:b/>
          <w:color w:val="000000"/>
          <w:sz w:val="20"/>
        </w:rPr>
        <w:t>(a)</w:t>
      </w:r>
      <w:r>
        <w:rPr>
          <w:rFonts w:ascii="Times New Roman" w:hAnsi="Times New Roman"/>
          <w:color w:val="000000"/>
          <w:sz w:val="20"/>
        </w:rPr>
        <w:t xml:space="preserve"> The Registrant’s annual report on </w:t>
      </w:r>
      <w:hyperlink r:id="rId2">
        <w:r>
          <w:rPr>
            <w:rStyle w:val="InternetLink"/>
            <w:rFonts w:ascii="Times New Roman" w:hAnsi="Times New Roman"/>
            <w:color w:val="0563C1"/>
            <w:sz w:val="20"/>
            <w:u w:val="single"/>
          </w:rPr>
          <w:t>Form 20-F</w:t>
        </w:r>
      </w:hyperlink>
      <w:r>
        <w:rPr>
          <w:rFonts w:ascii="Times New Roman" w:hAnsi="Times New Roman"/>
          <w:color w:val="000000"/>
          <w:sz w:val="20"/>
        </w:rPr>
        <w:t xml:space="preserve"> for the fiscal year ended December 31, 2025, filed with the Commission pursuant to Section 13 or 15(d)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on March 20, 2026 (File No. 001-36891), which contains audited financial statements for the Registrant’s latest fiscal year for which such statements have been filed; </w:t>
      </w:r>
    </w:p>
    <w:p>
      <w:pPr>
        <w:pStyle w:val="TextBody"/>
        <w:bidi w:val="0"/>
        <w:spacing w:before="120" w:after="283"/>
        <w:jc w:val="left"/>
        <w:rPr/>
      </w:pPr>
      <w:r>
        <w:rPr>
          <w:rFonts w:ascii="Times New Roman" w:hAnsi="Times New Roman"/>
          <w:b/>
          <w:color w:val="000000"/>
          <w:sz w:val="20"/>
        </w:rPr>
        <w:t>(b)</w:t>
      </w:r>
      <w:r>
        <w:rPr>
          <w:rFonts w:ascii="Times New Roman" w:hAnsi="Times New Roman"/>
          <w:color w:val="000000"/>
          <w:sz w:val="20"/>
        </w:rPr>
        <w:t xml:space="preserve"> The Registrant’s Reports of Foreign Private Issuer on Form 6-K filed with the Commission on </w:t>
      </w:r>
      <w:hyperlink r:id="rId3">
        <w:r>
          <w:rPr>
            <w:rStyle w:val="InternetLink"/>
            <w:rFonts w:ascii="Times New Roman" w:hAnsi="Times New Roman"/>
            <w:color w:val="0563C1"/>
            <w:sz w:val="20"/>
            <w:u w:val="single"/>
          </w:rPr>
          <w:t>May 11, 2026</w:t>
        </w:r>
      </w:hyperlink>
      <w:r>
        <w:rPr>
          <w:rFonts w:ascii="Times New Roman" w:hAnsi="Times New Roman"/>
          <w:color w:val="000000"/>
          <w:sz w:val="20"/>
        </w:rPr>
        <w:t xml:space="preserve">, </w:t>
      </w:r>
      <w:hyperlink r:id="rId4">
        <w:r>
          <w:rPr>
            <w:rStyle w:val="InternetLink"/>
            <w:rFonts w:ascii="Times New Roman" w:hAnsi="Times New Roman"/>
            <w:color w:val="0563C1"/>
            <w:sz w:val="20"/>
            <w:u w:val="single"/>
          </w:rPr>
          <w:t>May 21, 2026</w:t>
        </w:r>
      </w:hyperlink>
      <w:r>
        <w:rPr>
          <w:rFonts w:ascii="Times New Roman" w:hAnsi="Times New Roman"/>
          <w:color w:val="000000"/>
          <w:sz w:val="20"/>
        </w:rPr>
        <w:t xml:space="preserve">, </w:t>
      </w:r>
      <w:hyperlink r:id="rId5">
        <w:r>
          <w:rPr>
            <w:rStyle w:val="InternetLink"/>
            <w:rFonts w:ascii="Times New Roman" w:hAnsi="Times New Roman"/>
            <w:color w:val="0563C1"/>
            <w:sz w:val="20"/>
            <w:u w:val="single"/>
          </w:rPr>
          <w:t>June 9, 2026</w:t>
        </w:r>
      </w:hyperlink>
      <w:r>
        <w:rPr>
          <w:rFonts w:ascii="Times New Roman" w:hAnsi="Times New Roman"/>
          <w:color w:val="000000"/>
          <w:sz w:val="20"/>
        </w:rPr>
        <w:t xml:space="preserve"> (excluding the quote from Dr. Choulika), </w:t>
      </w:r>
      <w:hyperlink r:id="rId6">
        <w:r>
          <w:rPr>
            <w:rStyle w:val="InternetLink"/>
            <w:rFonts w:ascii="Times New Roman" w:hAnsi="Times New Roman"/>
            <w:color w:val="0563C1"/>
            <w:sz w:val="20"/>
            <w:u w:val="single"/>
          </w:rPr>
          <w:t>June 11, 2026</w:t>
        </w:r>
      </w:hyperlink>
      <w:r>
        <w:rPr>
          <w:rFonts w:ascii="Times New Roman" w:hAnsi="Times New Roman"/>
          <w:color w:val="000000"/>
          <w:sz w:val="20"/>
        </w:rPr>
        <w:t xml:space="preserve"> (excluding the quotes from Dr. Nitin Jain and Prof. Emmanuel Bachy), </w:t>
      </w:r>
      <w:hyperlink r:id="rId7">
        <w:r>
          <w:rPr>
            <w:rStyle w:val="InternetLink"/>
            <w:rFonts w:ascii="Times New Roman" w:hAnsi="Times New Roman"/>
            <w:color w:val="0563C1"/>
            <w:sz w:val="20"/>
            <w:u w:val="single"/>
          </w:rPr>
          <w:t>June 25, 2026</w:t>
        </w:r>
      </w:hyperlink>
      <w:r>
        <w:rPr>
          <w:rFonts w:ascii="Times New Roman" w:hAnsi="Times New Roman"/>
          <w:color w:val="000000"/>
          <w:sz w:val="20"/>
        </w:rPr>
        <w:t xml:space="preserve"> (as amended on </w:t>
      </w:r>
      <w:hyperlink r:id="rId8">
        <w:r>
          <w:rPr>
            <w:rStyle w:val="InternetLink"/>
            <w:rFonts w:ascii="Times New Roman" w:hAnsi="Times New Roman"/>
            <w:color w:val="0563C1"/>
            <w:sz w:val="20"/>
            <w:u w:val="single"/>
          </w:rPr>
          <w:t>June 26, 2026</w:t>
        </w:r>
      </w:hyperlink>
      <w:r>
        <w:rPr>
          <w:rFonts w:ascii="Times New Roman" w:hAnsi="Times New Roman"/>
          <w:color w:val="000000"/>
          <w:sz w:val="20"/>
        </w:rPr>
        <w:t xml:space="preserve">), </w:t>
      </w:r>
      <w:hyperlink r:id="rId9">
        <w:r>
          <w:rPr>
            <w:rStyle w:val="InternetLink"/>
            <w:rFonts w:ascii="Times New Roman" w:hAnsi="Times New Roman"/>
            <w:color w:val="0563C1"/>
            <w:sz w:val="20"/>
            <w:u w:val="single"/>
          </w:rPr>
          <w:t>August 6, 2026</w:t>
        </w:r>
      </w:hyperlink>
      <w:r>
        <w:rPr>
          <w:rFonts w:ascii="Times New Roman" w:hAnsi="Times New Roman"/>
          <w:color w:val="000000"/>
          <w:sz w:val="20"/>
        </w:rPr>
        <w:t xml:space="preserve">; and </w:t>
      </w:r>
    </w:p>
    <w:p>
      <w:pPr>
        <w:pStyle w:val="TextBody"/>
        <w:bidi w:val="0"/>
        <w:spacing w:before="120" w:after="283"/>
        <w:jc w:val="left"/>
        <w:rPr/>
      </w:pPr>
      <w:r>
        <w:rPr>
          <w:rFonts w:ascii="Times New Roman" w:hAnsi="Times New Roman"/>
          <w:color w:val="000000"/>
          <w:sz w:val="20"/>
        </w:rPr>
        <w:t xml:space="preserve">(c) The description of the Registrant’s Ordinary Shares and American Depositary Shares contained in the Registrant’s Registration Statement on Form 8-A filed on </w:t>
      </w:r>
      <w:hyperlink r:id="rId10">
        <w:r>
          <w:rPr>
            <w:rStyle w:val="InternetLink"/>
            <w:rFonts w:ascii="Times New Roman" w:hAnsi="Times New Roman"/>
            <w:color w:val="0563C1"/>
            <w:sz w:val="20"/>
            <w:u w:val="single"/>
          </w:rPr>
          <w:t>March 23, 2015</w:t>
        </w:r>
      </w:hyperlink>
      <w:r>
        <w:rPr>
          <w:rFonts w:ascii="Times New Roman" w:hAnsi="Times New Roman"/>
          <w:color w:val="000000"/>
          <w:sz w:val="20"/>
        </w:rPr>
        <w:t xml:space="preserve"> (File No. 001-36891) under the Exchange Act, including any amendment or report filed for the purpose of updating such description, including the description of the our securities included as </w:t>
      </w:r>
      <w:hyperlink r:id="rId11">
        <w:r>
          <w:rPr>
            <w:rStyle w:val="InternetLink"/>
            <w:rFonts w:ascii="Times New Roman" w:hAnsi="Times New Roman"/>
            <w:color w:val="0563C1"/>
            <w:sz w:val="20"/>
            <w:u w:val="single"/>
          </w:rPr>
          <w:t>Exhibit 2.3</w:t>
        </w:r>
      </w:hyperlink>
      <w:r>
        <w:rPr>
          <w:rFonts w:ascii="Times New Roman" w:hAnsi="Times New Roman"/>
          <w:color w:val="000000"/>
          <w:sz w:val="20"/>
        </w:rPr>
        <w:t xml:space="preserve"> to the Company’s Annual Report on Form 20-F filed with the SEC on March 20,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other reports and documents subsequently filed by the Registrant pursuant to Sections 13(a), 13(c), 14 and 15(d) of the Exchange Act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provided, however, that documents or information deemed to have been furnished (except for documents or information deemed to have been specifically incorporated by reference as discussed in (b)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above)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tbl>
      <w:tblPr>
        <w:tblW w:w="3902" w:type="dxa"/>
        <w:jc w:val="left"/>
        <w:tblInd w:w="0" w:type="dxa"/>
        <w:tblLayout w:type="fixed"/>
        <w:tblCellMar>
          <w:top w:w="28" w:type="dxa"/>
          <w:left w:w="28" w:type="dxa"/>
          <w:bottom w:w="28" w:type="dxa"/>
          <w:right w:w="28" w:type="dxa"/>
        </w:tblCellMar>
      </w:tblPr>
      <w:tblGrid>
        <w:gridCol w:w="841"/>
        <w:gridCol w:w="3061"/>
      </w:tblGrid>
      <w:tr>
        <w:trPr/>
        <w:tc>
          <w:tcPr>
            <w:tcW w:w="8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 OF SECURITIES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5582" w:type="dxa"/>
        <w:jc w:val="left"/>
        <w:tblInd w:w="0" w:type="dxa"/>
        <w:tblLayout w:type="fixed"/>
        <w:tblCellMar>
          <w:top w:w="28" w:type="dxa"/>
          <w:left w:w="28" w:type="dxa"/>
          <w:bottom w:w="28" w:type="dxa"/>
          <w:right w:w="28" w:type="dxa"/>
        </w:tblCellMar>
      </w:tblPr>
      <w:tblGrid>
        <w:gridCol w:w="841"/>
        <w:gridCol w:w="4741"/>
      </w:tblGrid>
      <w:tr>
        <w:trPr/>
        <w:tc>
          <w:tcPr>
            <w:tcW w:w="841"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INTERESTS OF NAMED EXPERTS AND COUNSEL</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5837" w:type="dxa"/>
        <w:jc w:val="left"/>
        <w:tblInd w:w="0" w:type="dxa"/>
        <w:tblLayout w:type="fixed"/>
        <w:tblCellMar>
          <w:top w:w="28" w:type="dxa"/>
          <w:left w:w="28" w:type="dxa"/>
          <w:bottom w:w="28" w:type="dxa"/>
          <w:right w:w="28" w:type="dxa"/>
        </w:tblCellMar>
      </w:tblPr>
      <w:tblGrid>
        <w:gridCol w:w="841"/>
        <w:gridCol w:w="4996"/>
      </w:tblGrid>
      <w:tr>
        <w:trPr/>
        <w:tc>
          <w:tcPr>
            <w:tcW w:w="841"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6.</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INDEMNIFICATION OF DIRECTORS AND OFFICERS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French law, provisions of By-laws that limit the liability of directors and officers are prohibited. However, French law allows </w:t>
      </w:r>
      <w:r>
        <w:rPr>
          <w:rFonts w:ascii="Times New Roman" w:hAnsi="Times New Roman"/>
          <w:i/>
          <w:color w:val="000000"/>
          <w:sz w:val="20"/>
        </w:rPr>
        <w:t>sociétés anonymes</w:t>
      </w:r>
      <w:r>
        <w:rPr>
          <w:rFonts w:ascii="Times New Roman" w:hAnsi="Times New Roman"/>
          <w:color w:val="000000"/>
          <w:sz w:val="20"/>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a company or through liability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customary liability insurance coverage for our directors and executive officers, including insurance against liability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non-employee directors may, through their relationships with their employers or partnerships, be insured against certain liabilities in their capacity as members of our board of directors. </w:t>
      </w:r>
    </w:p>
    <w:tbl>
      <w:tblPr>
        <w:tblW w:w="5387" w:type="dxa"/>
        <w:jc w:val="left"/>
        <w:tblInd w:w="0" w:type="dxa"/>
        <w:tblLayout w:type="fixed"/>
        <w:tblCellMar>
          <w:top w:w="28" w:type="dxa"/>
          <w:left w:w="28" w:type="dxa"/>
          <w:bottom w:w="28" w:type="dxa"/>
          <w:right w:w="28" w:type="dxa"/>
        </w:tblCellMar>
      </w:tblPr>
      <w:tblGrid>
        <w:gridCol w:w="841"/>
        <w:gridCol w:w="4546"/>
      </w:tblGrid>
      <w:tr>
        <w:trPr/>
        <w:tc>
          <w:tcPr>
            <w:tcW w:w="841"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EXEMPTION FROM REGISTRATION CLAIMED</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1982" w:type="dxa"/>
        <w:jc w:val="left"/>
        <w:tblInd w:w="0" w:type="dxa"/>
        <w:tblLayout w:type="fixed"/>
        <w:tblCellMar>
          <w:top w:w="28" w:type="dxa"/>
          <w:left w:w="28" w:type="dxa"/>
          <w:bottom w:w="28" w:type="dxa"/>
          <w:right w:w="28" w:type="dxa"/>
        </w:tblCellMar>
      </w:tblPr>
      <w:tblGrid>
        <w:gridCol w:w="841"/>
        <w:gridCol w:w="1141"/>
      </w:tblGrid>
      <w:tr>
        <w:trPr/>
        <w:tc>
          <w:tcPr>
            <w:tcW w:w="8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Exhibit Index on the page immediately preceding the signature page for a list of exhibits filed as part of this Registration Statement, which Exhibit Index is incorporated herein by reference. </w:t>
      </w:r>
    </w:p>
    <w:tbl>
      <w:tblPr>
        <w:tblW w:w="2597" w:type="dxa"/>
        <w:jc w:val="left"/>
        <w:tblInd w:w="0" w:type="dxa"/>
        <w:tblLayout w:type="fixed"/>
        <w:tblCellMar>
          <w:top w:w="28" w:type="dxa"/>
          <w:left w:w="28" w:type="dxa"/>
          <w:bottom w:w="28" w:type="dxa"/>
          <w:right w:w="28" w:type="dxa"/>
        </w:tblCellMar>
      </w:tblPr>
      <w:tblGrid>
        <w:gridCol w:w="841"/>
        <w:gridCol w:w="1756"/>
      </w:tblGrid>
      <w:tr>
        <w:trPr/>
        <w:tc>
          <w:tcPr>
            <w:tcW w:w="8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UNDERTAKINGS</w:t>
            </w:r>
            <w:r>
              <w:rPr>
                <w:rFonts w:ascii="Times New Roman" w:hAnsi="Times New Roman"/>
                <w:color w:val="000000"/>
                <w:sz w:val="20"/>
              </w:rPr>
              <w:t xml:space="preserve"> </w:t>
            </w:r>
          </w:p>
        </w:tc>
      </w:tr>
    </w:tbl>
    <w:tbl>
      <w:tblPr>
        <w:tblW w:w="4307" w:type="dxa"/>
        <w:jc w:val="left"/>
        <w:tblInd w:w="0" w:type="dxa"/>
        <w:tblLayout w:type="fixed"/>
        <w:tblCellMar>
          <w:top w:w="28" w:type="dxa"/>
          <w:left w:w="28" w:type="dxa"/>
          <w:bottom w:w="28" w:type="dxa"/>
          <w:right w:w="28" w:type="dxa"/>
        </w:tblCellMar>
      </w:tblPr>
      <w:tblGrid>
        <w:gridCol w:w="271"/>
        <w:gridCol w:w="4036"/>
      </w:tblGrid>
      <w:tr>
        <w:trPr/>
        <w:tc>
          <w:tcPr>
            <w:tcW w:w="271"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To file, during any period in which offers or sales are being made, a post-effective amendment to this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Provided, however, that paragraphs (a)(i) and (a)(ii)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To remove from registration by means of a post-effective amendment any of the securities being registered which remain unsold at the termination of the offering. </w:t>
      </w:r>
    </w:p>
    <w:tbl>
      <w:tblPr>
        <w:tblW w:w="10205" w:type="dxa"/>
        <w:jc w:val="left"/>
        <w:tblInd w:w="0" w:type="dxa"/>
        <w:tblLayout w:type="fixed"/>
        <w:tblCellMar>
          <w:top w:w="28" w:type="dxa"/>
          <w:left w:w="28" w:type="dxa"/>
          <w:bottom w:w="28" w:type="dxa"/>
          <w:right w:w="28" w:type="dxa"/>
        </w:tblCellMar>
      </w:tblPr>
      <w:tblGrid>
        <w:gridCol w:w="234"/>
        <w:gridCol w:w="9971"/>
      </w:tblGrid>
      <w:tr>
        <w:trPr/>
        <w:tc>
          <w:tcPr>
            <w:tcW w:w="234" w:type="dxa"/>
            <w:tcBorders/>
            <w:vAlign w:val="center"/>
          </w:tcPr>
          <w:p>
            <w:pPr>
              <w:pStyle w:val="TableContents"/>
              <w:bidi w:val="0"/>
              <w:spacing w:before="0" w:after="283"/>
              <w:jc w:val="left"/>
              <w:rPr>
                <w:sz w:val="4"/>
                <w:szCs w:val="4"/>
              </w:rPr>
            </w:pPr>
            <w:r>
              <w:rPr>
                <w:sz w:val="4"/>
                <w:szCs w:val="4"/>
              </w:rPr>
            </w:r>
          </w:p>
        </w:tc>
        <w:tc>
          <w:tcPr>
            <w:tcW w:w="9971" w:type="dxa"/>
            <w:tcBorders/>
            <w:vAlign w:val="center"/>
          </w:tcPr>
          <w:p>
            <w:pPr>
              <w:pStyle w:val="TableContents"/>
              <w:bidi w:val="0"/>
              <w:spacing w:before="0" w:after="283"/>
              <w:jc w:val="left"/>
              <w:rPr>
                <w:sz w:val="4"/>
                <w:szCs w:val="4"/>
              </w:rPr>
            </w:pPr>
            <w:r>
              <w:rPr>
                <w:sz w:val="4"/>
                <w:szCs w:val="4"/>
              </w:rPr>
            </w:r>
          </w:p>
        </w:tc>
      </w:tr>
      <w:tr>
        <w:trPr/>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 </w:t>
            </w:r>
          </w:p>
        </w:tc>
      </w:tr>
    </w:tbl>
    <w:tbl>
      <w:tblPr>
        <w:tblW w:w="10205" w:type="dxa"/>
        <w:jc w:val="left"/>
        <w:tblInd w:w="0" w:type="dxa"/>
        <w:tblLayout w:type="fixed"/>
        <w:tblCellMar>
          <w:top w:w="28" w:type="dxa"/>
          <w:left w:w="28" w:type="dxa"/>
          <w:bottom w:w="28" w:type="dxa"/>
          <w:right w:w="28" w:type="dxa"/>
        </w:tblCellMar>
      </w:tblPr>
      <w:tblGrid>
        <w:gridCol w:w="230"/>
        <w:gridCol w:w="9975"/>
      </w:tblGrid>
      <w:tr>
        <w:trPr/>
        <w:tc>
          <w:tcPr>
            <w:tcW w:w="230" w:type="dxa"/>
            <w:tcBorders/>
            <w:vAlign w:val="center"/>
          </w:tcPr>
          <w:p>
            <w:pPr>
              <w:pStyle w:val="TableContents"/>
              <w:bidi w:val="0"/>
              <w:spacing w:before="0" w:after="283"/>
              <w:jc w:val="left"/>
              <w:rPr>
                <w:sz w:val="4"/>
                <w:szCs w:val="4"/>
              </w:rPr>
            </w:pPr>
            <w:r>
              <w:rPr>
                <w:sz w:val="4"/>
                <w:szCs w:val="4"/>
              </w:rPr>
            </w:r>
          </w:p>
        </w:tc>
        <w:tc>
          <w:tcPr>
            <w:tcW w:w="9975" w:type="dxa"/>
            <w:tcBorders/>
            <w:vAlign w:val="center"/>
          </w:tcPr>
          <w:p>
            <w:pPr>
              <w:pStyle w:val="TableContents"/>
              <w:bidi w:val="0"/>
              <w:spacing w:before="0" w:after="283"/>
              <w:jc w:val="left"/>
              <w:rPr>
                <w:sz w:val="4"/>
                <w:szCs w:val="4"/>
              </w:rPr>
            </w:pPr>
            <w:r>
              <w:rPr>
                <w:sz w:val="4"/>
                <w:szCs w:val="4"/>
              </w:rPr>
            </w:r>
          </w:p>
        </w:tc>
      </w:tr>
      <w:tr>
        <w:trPr/>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r>
        <w:trPr/>
        <w:tc>
          <w:tcPr>
            <w:tcW w:w="230" w:type="dxa"/>
            <w:tcBorders/>
            <w:tcMar>
              <w:top w:w="0" w:type="dxa"/>
              <w:left w:w="0" w:type="dxa"/>
              <w:bottom w:w="0" w:type="dxa"/>
              <w:right w:w="0" w:type="dxa"/>
            </w:tcMar>
            <w:vAlign w:val="center"/>
          </w:tcPr>
          <w:p>
            <w:pPr>
              <w:pStyle w:val="TableContents"/>
              <w:bidi w:val="0"/>
              <w:spacing w:before="0" w:after="283"/>
              <w:jc w:val="left"/>
              <w:rPr/>
            </w:pPr>
            <w:r>
              <w:rPr/>
              <w:t> </w:t>
            </w:r>
          </w:p>
        </w:tc>
        <w:tc>
          <w:tcPr>
            <w:tcW w:w="99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8443" w:type="dxa"/>
        <w:jc w:val="left"/>
        <w:tblInd w:w="0" w:type="dxa"/>
        <w:tblLayout w:type="fixed"/>
        <w:tblCellMar>
          <w:top w:w="28" w:type="dxa"/>
          <w:left w:w="28" w:type="dxa"/>
          <w:bottom w:w="28" w:type="dxa"/>
          <w:right w:w="28" w:type="dxa"/>
        </w:tblCellMar>
      </w:tblPr>
      <w:tblGrid>
        <w:gridCol w:w="811"/>
        <w:gridCol w:w="146"/>
        <w:gridCol w:w="748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By-laws (</w:t>
              </w:r>
            </w:hyperlink>
            <w:hyperlink r:id="rId13">
              <w:r>
                <w:rPr>
                  <w:rStyle w:val="InternetLink"/>
                  <w:rFonts w:ascii="Times New Roman" w:hAnsi="Times New Roman"/>
                  <w:i/>
                  <w:color w:val="0000FF"/>
                  <w:sz w:val="20"/>
                  <w:u w:val="single"/>
                </w:rPr>
                <w:t>statuts</w:t>
              </w:r>
            </w:hyperlink>
            <w:hyperlink r:id="rId14">
              <w:r>
                <w:rPr>
                  <w:rStyle w:val="InternetLink"/>
                  <w:rFonts w:ascii="Times New Roman" w:hAnsi="Times New Roman"/>
                  <w:color w:val="0000FF"/>
                  <w:sz w:val="20"/>
                  <w:u w:val="single"/>
                </w:rPr>
                <w:t>) of the registrant (English translation)</w:t>
              </w:r>
            </w:hyperlink>
            <w:hyperlink r:id="rId15">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5_1.htm">
              <w:r>
                <w:rPr>
                  <w:rStyle w:val="InternetLink"/>
                  <w:rFonts w:ascii="Times New Roman" w:hAnsi="Times New Roman"/>
                  <w:color w:val="0000FF"/>
                  <w:sz w:val="20"/>
                  <w:u w:val="single"/>
                </w:rPr>
                <w:t>Opinion of Jones Day</w:t>
              </w:r>
            </w:hyperlink>
            <w:hyperlink w:anchor="clls-ex5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23_1.htm">
              <w:r>
                <w:rPr>
                  <w:rStyle w:val="InternetLink"/>
                  <w:rFonts w:ascii="Times New Roman" w:hAnsi="Times New Roman"/>
                  <w:color w:val="0000FF"/>
                  <w:sz w:val="20"/>
                  <w:u w:val="single"/>
                </w:rPr>
                <w:t>Consent of Ernst &amp; Young et Autres</w:t>
              </w:r>
            </w:hyperlink>
            <w:hyperlink w:anchor="clls-ex23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23_2.htm">
              <w:r>
                <w:rPr>
                  <w:rStyle w:val="InternetLink"/>
                  <w:rFonts w:ascii="Times New Roman" w:hAnsi="Times New Roman"/>
                  <w:color w:val="0000FF"/>
                  <w:sz w:val="20"/>
                  <w:u w:val="single"/>
                </w:rPr>
                <w:t>Consent of KPMG SA</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5_1.htm">
              <w:r>
                <w:rPr>
                  <w:rStyle w:val="InternetLink"/>
                  <w:rFonts w:ascii="Times New Roman" w:hAnsi="Times New Roman"/>
                  <w:color w:val="0000FF"/>
                  <w:sz w:val="20"/>
                  <w:u w:val="single"/>
                </w:rPr>
                <w:t>Consent of Jones Day (included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 to this Registration Statement on Form S-8)</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99_1.htm">
              <w:r>
                <w:rPr>
                  <w:rStyle w:val="InternetLink"/>
                  <w:rFonts w:ascii="Times New Roman" w:hAnsi="Times New Roman"/>
                  <w:color w:val="0000FF"/>
                  <w:sz w:val="20"/>
                  <w:u w:val="single"/>
                </w:rPr>
                <w:t>2026 Stock Option Plan</w:t>
              </w:r>
            </w:hyperlink>
            <w:hyperlink w:anchor="clls-ex99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99_2.htm">
              <w:r>
                <w:rPr>
                  <w:rStyle w:val="InternetLink"/>
                  <w:rFonts w:ascii="Times New Roman" w:hAnsi="Times New Roman"/>
                  <w:color w:val="0000FF"/>
                  <w:sz w:val="20"/>
                  <w:u w:val="single"/>
                </w:rPr>
                <w:t>2026 Free Shares Plan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hyperlink w:anchor="clls-exfiling_fees.htm">
              <w:r>
                <w:rPr>
                  <w:rStyle w:val="InternetLink"/>
                  <w:rFonts w:ascii="Times New Roman" w:hAnsi="Times New Roman"/>
                  <w:color w:val="0000FF"/>
                  <w:sz w:val="20"/>
                  <w:u w:val="single"/>
                </w:rPr>
                <w:t>Calculation of Filing Fee Table</w:t>
              </w:r>
            </w:hyperlink>
          </w:p>
        </w:tc>
      </w:tr>
    </w:tbl>
    <w:p>
      <w:pPr>
        <w:pStyle w:val="TextBody"/>
        <w:pBdr>
          <w:bottom w:val="single" w:sz="6" w:space="1" w:color="000000"/>
        </w:pBdr>
        <w:bidi w:val="0"/>
        <w:spacing w:before="0" w:after="40"/>
        <w:jc w:val="left"/>
        <w:rPr/>
      </w:pPr>
      <w:r>
        <w:rPr/>
        <w:t> </w:t>
      </w:r>
    </w:p>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283"/>
              <w:jc w:val="left"/>
              <w:rPr>
                <w:sz w:val="4"/>
                <w:szCs w:val="4"/>
              </w:rPr>
            </w:pPr>
            <w:r>
              <w:rPr>
                <w:sz w:val="4"/>
                <w:szCs w:val="4"/>
              </w:rPr>
            </w:r>
          </w:p>
        </w:tc>
        <w:tc>
          <w:tcPr>
            <w:tcW w:w="9887" w:type="dxa"/>
            <w:tcBorders/>
            <w:vAlign w:val="center"/>
          </w:tcPr>
          <w:p>
            <w:pPr>
              <w:pStyle w:val="TableContents"/>
              <w:bidi w:val="0"/>
              <w:spacing w:before="0" w:after="283"/>
              <w:jc w:val="left"/>
              <w:rPr>
                <w:sz w:val="4"/>
                <w:szCs w:val="4"/>
              </w:rPr>
            </w:pPr>
            <w:r>
              <w:rPr>
                <w:sz w:val="4"/>
                <w:szCs w:val="4"/>
              </w:rPr>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as Exhibit 1.1 to Registrant’s Report of Foreign Private Issuer on Form 20-F (File No. 001-36891) filed with the Securities and Exchange Commission on March 20, 2026, and incorporated herein by reference.</w:t>
            </w:r>
          </w:p>
        </w:tc>
      </w:tr>
    </w:tbl>
    <w:p>
      <w:pPr>
        <w:pStyle w:val="TextBody"/>
        <w:bidi w:val="0"/>
        <w:spacing w:before="120" w:after="12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x597535_sig"/>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Paris, France on August 6, 2026. </w:t>
      </w:r>
    </w:p>
    <w:tbl>
      <w:tblPr>
        <w:tblW w:w="2638" w:type="dxa"/>
        <w:jc w:val="left"/>
        <w:tblInd w:w="0" w:type="dxa"/>
        <w:tblLayout w:type="fixed"/>
        <w:tblCellMar>
          <w:top w:w="28" w:type="dxa"/>
          <w:left w:w="28" w:type="dxa"/>
          <w:bottom w:w="28" w:type="dxa"/>
          <w:right w:w="28" w:type="dxa"/>
        </w:tblCellMar>
      </w:tblPr>
      <w:tblGrid>
        <w:gridCol w:w="421"/>
        <w:gridCol w:w="146"/>
        <w:gridCol w:w="207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CELLECTIS S.A.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André Choulika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 Choulika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80" w:after="283"/>
        <w:jc w:val="center"/>
        <w:rPr>
          <w:rFonts w:ascii="Times New Roman" w:hAnsi="Times New Roman"/>
          <w:sz w:val="20"/>
        </w:rPr>
      </w:pPr>
      <w:bookmarkStart w:id="3" w:name="power_of_attorney"/>
      <w:bookmarkEnd w:id="3"/>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the undersigned directors, officers and/or authorized representative in the United States of Cellectis S.A., hereby severally constitute and appoint Dr. André Choulika and Marie-Bleuenn Terrier, and each of them singly, our true and lawful attorneys, with full power to any of them, and to each of them singly, to sign for us and in our names in the capacities indicated below the registration statement on Form S-8 filed herewith, and any and all pre-effective and post-effective amendments to said registration statement, under the Securities Act of 1933, as amended, in connection with the registration under the Securities Act of 1933, as amended, of equity securities of Cellectis S.A.,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indicated on August 6, 2026. </w:t>
      </w:r>
    </w:p>
    <w:p>
      <w:pPr>
        <w:pStyle w:val="TextBody"/>
        <w:bidi w:val="0"/>
        <w:spacing w:before="240" w:after="283"/>
        <w:jc w:val="left"/>
        <w:rPr/>
      </w:pPr>
      <w:r>
        <w:rPr/>
        <w:t> </w:t>
      </w:r>
    </w:p>
    <w:tbl>
      <w:tblPr>
        <w:tblW w:w="7188" w:type="dxa"/>
        <w:jc w:val="left"/>
        <w:tblInd w:w="0" w:type="dxa"/>
        <w:tblLayout w:type="fixed"/>
        <w:tblCellMar>
          <w:top w:w="28" w:type="dxa"/>
          <w:left w:w="28" w:type="dxa"/>
          <w:bottom w:w="28" w:type="dxa"/>
          <w:right w:w="28" w:type="dxa"/>
        </w:tblCellMar>
      </w:tblPr>
      <w:tblGrid>
        <w:gridCol w:w="2071"/>
        <w:gridCol w:w="3721"/>
        <w:gridCol w:w="1396"/>
      </w:tblGrid>
      <w:tr>
        <w:trPr/>
        <w:tc>
          <w:tcPr>
            <w:tcW w:w="207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372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39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André Choulika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André Choulika</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Director</w:t>
              <w:br/>
              <w:t>(Principal Executive Officer)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Arthur Stril</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Arthur Stril</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br/>
              <w:t>(Principal Financial and Accounting Officer)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Jean-Pierre Garnier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Jean-Pierre Garnier</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Laurent Arthaud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Laurent Arthaud</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Donald A. Bergstrom</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Donald A. Bergstrom</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center"/>
              <w:rPr>
                <w:rFonts w:ascii="Times New Roman" w:hAnsi="Times New Roman"/>
                <w:color w:val="000000"/>
                <w:sz w:val="20"/>
              </w:rPr>
            </w:pPr>
            <w:r>
              <w:rPr>
                <w:rFonts w:ascii="Times New Roman" w:hAnsi="Times New Roman"/>
                <w:color w:val="000000"/>
                <w:sz w:val="20"/>
              </w:rPr>
              <w:t>/s/ Rainer Boehm</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Rainer Boehm</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/s/ Cécile Chartier</w:t>
            </w:r>
          </w:p>
        </w:tc>
        <w:tc>
          <w:tcPr>
            <w:tcW w:w="372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Cécile Chartier</w:t>
            </w:r>
          </w:p>
        </w:tc>
        <w:tc>
          <w:tcPr>
            <w:tcW w:w="3721" w:type="dxa"/>
            <w:vMerge w:val="continue"/>
            <w:tcBorders/>
            <w:tcMar>
              <w:top w:w="0" w:type="dxa"/>
              <w:left w:w="0" w:type="dxa"/>
              <w:bottom w:w="0" w:type="dxa"/>
              <w:right w:w="0" w:type="dxa"/>
            </w:tcMar>
            <w:vAlign w:val="center"/>
          </w:tcPr>
          <w:p>
            <w:pPr>
              <w:pStyle w:val="Normal"/>
              <w:bidi w:val="0"/>
              <w:jc w:val="left"/>
              <w:rPr/>
            </w:pPr>
            <w:r>
              <w:rPr/>
            </w:r>
          </w:p>
        </w:tc>
        <w:tc>
          <w:tcPr>
            <w:tcW w:w="1396" w:type="dxa"/>
            <w:vMerge w:val="continue"/>
            <w:tcBorders/>
            <w:tcMar>
              <w:top w:w="0" w:type="dxa"/>
              <w:left w:w="0" w:type="dxa"/>
              <w:bottom w:w="0" w:type="dxa"/>
              <w:right w:w="0" w:type="dxa"/>
            </w:tcMar>
            <w:vAlign w:val="center"/>
          </w:tcPr>
          <w:p>
            <w:pPr>
              <w:pStyle w:val="Normal"/>
              <w:bidi w:val="0"/>
              <w:jc w:val="left"/>
              <w:rPr/>
            </w:pPr>
            <w:r>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 Dunoyer</w:t>
            </w:r>
          </w:p>
        </w:tc>
        <w:tc>
          <w:tcPr>
            <w:tcW w:w="372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 Dunoyer</w:t>
            </w:r>
          </w:p>
        </w:tc>
        <w:tc>
          <w:tcPr>
            <w:tcW w:w="372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39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798" w:type="dxa"/>
        <w:jc w:val="left"/>
        <w:tblInd w:w="0" w:type="dxa"/>
        <w:tblLayout w:type="fixed"/>
        <w:tblCellMar>
          <w:top w:w="28" w:type="dxa"/>
          <w:left w:w="28" w:type="dxa"/>
          <w:bottom w:w="28" w:type="dxa"/>
          <w:right w:w="28" w:type="dxa"/>
        </w:tblCellMar>
      </w:tblPr>
      <w:tblGrid>
        <w:gridCol w:w="1636"/>
        <w:gridCol w:w="766"/>
        <w:gridCol w:w="1396"/>
      </w:tblGrid>
      <w:tr>
        <w:trPr/>
        <w:tc>
          <w:tcPr>
            <w:tcW w:w="16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/s/ André Muller</w:t>
            </w:r>
          </w:p>
        </w:tc>
        <w:tc>
          <w:tcPr>
            <w:tcW w:w="76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André Muller</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396" w:type="dxa"/>
            <w:vMerge w:val="continue"/>
            <w:tcBorders/>
            <w:tcMar>
              <w:top w:w="0" w:type="dxa"/>
              <w:left w:w="0" w:type="dxa"/>
              <w:bottom w:w="0" w:type="dxa"/>
              <w:right w:w="0" w:type="dxa"/>
            </w:tcMar>
            <w:vAlign w:val="center"/>
          </w:tcPr>
          <w:p>
            <w:pPr>
              <w:pStyle w:val="Normal"/>
              <w:bidi w:val="0"/>
              <w:jc w:val="left"/>
              <w:rPr/>
            </w:pPr>
            <w:r>
              <w:rPr/>
            </w:r>
          </w:p>
        </w:tc>
      </w:tr>
      <w:tr>
        <w:trPr/>
        <w:tc>
          <w:tcPr>
            <w:tcW w:w="163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/s/ Tyrell Rivers</w:t>
            </w:r>
          </w:p>
        </w:tc>
        <w:tc>
          <w:tcPr>
            <w:tcW w:w="76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Tyrell Rivers</w:t>
            </w:r>
          </w:p>
        </w:tc>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396" w:type="dxa"/>
            <w:vMerge w:val="continue"/>
            <w:tcBorders/>
            <w:tcMar>
              <w:top w:w="0" w:type="dxa"/>
              <w:left w:w="0" w:type="dxa"/>
              <w:bottom w:w="0" w:type="dxa"/>
              <w:right w:w="0" w:type="dxa"/>
            </w:tcMar>
            <w:vAlign w:val="center"/>
          </w:tcPr>
          <w:p>
            <w:pPr>
              <w:pStyle w:val="Normal"/>
              <w:bidi w:val="0"/>
              <w:jc w:val="left"/>
              <w:rPr/>
            </w:pPr>
            <w:r>
              <w:rPr/>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Sourdive</w:t>
            </w:r>
          </w:p>
        </w:tc>
        <w:tc>
          <w:tcPr>
            <w:tcW w:w="76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3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Sourdive</w:t>
            </w:r>
          </w:p>
        </w:tc>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39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240" w:after="283"/>
        <w:jc w:val="left"/>
        <w:rPr/>
      </w:pPr>
      <w:r>
        <w:rPr/>
        <w:t> </w:t>
      </w:r>
    </w:p>
    <w:p>
      <w:pPr>
        <w:pStyle w:val="TextBody"/>
        <w:bidi w:val="0"/>
        <w:jc w:val="left"/>
        <w:rPr/>
      </w:pPr>
      <w:r>
        <w:rPr/>
        <w:t> </w:t>
      </w:r>
    </w:p>
    <w:tbl>
      <w:tblPr>
        <w:tblW w:w="5175" w:type="dxa"/>
        <w:jc w:val="left"/>
        <w:tblInd w:w="0" w:type="dxa"/>
        <w:tblLayout w:type="fixed"/>
        <w:tblCellMar>
          <w:top w:w="28" w:type="dxa"/>
          <w:left w:w="28" w:type="dxa"/>
          <w:bottom w:w="28" w:type="dxa"/>
          <w:right w:w="28" w:type="dxa"/>
        </w:tblCellMar>
      </w:tblPr>
      <w:tblGrid>
        <w:gridCol w:w="1671"/>
        <w:gridCol w:w="1514"/>
        <w:gridCol w:w="1990"/>
      </w:tblGrid>
      <w:tr>
        <w:trPr/>
        <w:tc>
          <w:tcPr>
            <w:tcW w:w="167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167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9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Cellectis, Inc., Authorized Representative in the United States</w:t>
            </w:r>
          </w:p>
        </w:tc>
      </w:tr>
    </w:tbl>
    <w:p>
      <w:pPr>
        <w:pStyle w:val="TextBody"/>
        <w:bidi w:val="0"/>
        <w:jc w:val="left"/>
        <w:rPr/>
      </w:pPr>
      <w:r>
        <w:rPr/>
        <w:t> </w:t>
      </w:r>
    </w:p>
    <w:tbl>
      <w:tblPr>
        <w:tblW w:w="2615" w:type="dxa"/>
        <w:jc w:val="left"/>
        <w:tblInd w:w="0" w:type="dxa"/>
        <w:tblLayout w:type="fixed"/>
        <w:tblCellMar>
          <w:top w:w="28" w:type="dxa"/>
          <w:left w:w="28" w:type="dxa"/>
          <w:bottom w:w="28" w:type="dxa"/>
          <w:right w:w="28" w:type="dxa"/>
        </w:tblCellMar>
      </w:tblPr>
      <w:tblGrid>
        <w:gridCol w:w="421"/>
        <w:gridCol w:w="146"/>
        <w:gridCol w:w="1711"/>
        <w:gridCol w:w="14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André Choulika</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 Choulika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clls-ex5_1.htm"/>
      <w:bookmarkStart w:id="5" w:name="kscllsex5_1"/>
      <w:bookmarkEnd w:id="4"/>
      <w:bookmarkEnd w:id="5"/>
      <w:r>
        <w:rPr>
          <w:rFonts w:ascii="Arial" w:hAnsi="Arial"/>
          <w:b/>
          <w:color w:val="000000"/>
          <w:sz w:val="20"/>
        </w:rPr>
        <w:t>Exhibit 5.1</w:t>
      </w:r>
      <w:r>
        <w:br w:type="page"/>
      </w:r>
    </w:p>
    <w:p>
      <w:pPr>
        <w:pStyle w:val="TextBody"/>
        <w:bidi w:val="0"/>
        <w:jc w:val="left"/>
        <w:rPr/>
      </w:pPr>
      <w:r>
        <w:rPr/>
        <w:t> </w:t>
      </w:r>
    </w:p>
    <w:p>
      <w:pPr>
        <w:pStyle w:val="TextBody"/>
        <w:bidi w:val="0"/>
        <w:spacing w:before="0" w:after="240"/>
        <w:jc w:val="center"/>
        <w:rPr/>
      </w:pPr>
      <w:r>
        <w:rPr/>
        <w:drawing>
          <wp:inline distT="0" distB="0" distL="0" distR="0">
            <wp:extent cx="13716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371600" cy="152400"/>
                    </a:xfrm>
                    <a:prstGeom prst="rect">
                      <a:avLst/>
                    </a:prstGeom>
                  </pic:spPr>
                </pic:pic>
              </a:graphicData>
            </a:graphic>
          </wp:inline>
        </w:drawing>
      </w:r>
    </w:p>
    <w:p>
      <w:pPr>
        <w:pStyle w:val="TextBody"/>
        <w:bidi w:val="0"/>
        <w:spacing w:before="0" w:after="80"/>
        <w:jc w:val="center"/>
        <w:rPr>
          <w:rFonts w:ascii="Arial" w:hAnsi="Arial"/>
          <w:caps/>
          <w:color w:val="000000"/>
          <w:sz w:val="13"/>
        </w:rPr>
      </w:pPr>
      <w:r>
        <w:rPr>
          <w:rFonts w:ascii="Arial" w:hAnsi="Arial"/>
          <w:caps/>
          <w:color w:val="000000"/>
          <w:sz w:val="13"/>
        </w:rPr>
        <w:t>PARTNERSHIP CONSTITUEE SELON LE DROIT DE L’OHIO, USA</w:t>
      </w:r>
    </w:p>
    <w:p>
      <w:pPr>
        <w:pStyle w:val="TextBody"/>
        <w:bidi w:val="0"/>
        <w:spacing w:before="0" w:after="80"/>
        <w:jc w:val="center"/>
        <w:rPr>
          <w:rFonts w:ascii="Arial" w:hAnsi="Arial"/>
          <w:caps/>
          <w:color w:val="000000"/>
          <w:sz w:val="13"/>
        </w:rPr>
      </w:pPr>
      <w:r>
        <w:rPr>
          <w:rFonts w:ascii="Arial" w:hAnsi="Arial"/>
          <w:caps/>
          <w:color w:val="000000"/>
          <w:sz w:val="13"/>
        </w:rPr>
        <w:t>AVOCATS AU BARREAU DE PARIS</w:t>
      </w:r>
    </w:p>
    <w:p>
      <w:pPr>
        <w:pStyle w:val="TextBody"/>
        <w:bidi w:val="0"/>
        <w:spacing w:before="0" w:after="80"/>
        <w:jc w:val="center"/>
        <w:rPr>
          <w:rFonts w:ascii="Arial" w:hAnsi="Arial"/>
          <w:caps/>
          <w:color w:val="000000"/>
          <w:sz w:val="13"/>
        </w:rPr>
      </w:pPr>
      <w:r>
        <w:rPr>
          <w:rFonts w:ascii="Arial" w:hAnsi="Arial"/>
          <w:caps/>
          <w:color w:val="000000"/>
          <w:sz w:val="13"/>
        </w:rPr>
        <w:t>2, rue Saint-Florentin  75001 Paris</w:t>
      </w:r>
    </w:p>
    <w:p>
      <w:pPr>
        <w:pStyle w:val="TextBody"/>
        <w:bidi w:val="0"/>
        <w:spacing w:before="0" w:after="80"/>
        <w:jc w:val="center"/>
        <w:rPr>
          <w:rFonts w:ascii="Times New Roman" w:hAnsi="Times New Roman"/>
          <w:sz w:val="20"/>
        </w:rPr>
      </w:pPr>
      <w:r>
        <w:rPr>
          <w:rFonts w:ascii="Arial" w:hAnsi="Arial"/>
          <w:caps/>
          <w:color w:val="000000"/>
          <w:sz w:val="13"/>
        </w:rPr>
        <w:t xml:space="preserve">TelePHonE: (0)1.56.59.39.39  FACSIMILE: (0)1.56.59.39.38 </w:t>
      </w:r>
      <w:r>
        <w:rPr>
          <w:rFonts w:ascii="Arial" w:hAnsi="Arial"/>
          <w:smallCaps/>
          <w:color w:val="000000"/>
          <w:sz w:val="13"/>
        </w:rPr>
        <w:t>TOQUE J 001</w:t>
      </w:r>
    </w:p>
    <w:p>
      <w:pPr>
        <w:pStyle w:val="TextBody"/>
        <w:bidi w:val="0"/>
        <w:spacing w:before="0" w:after="80"/>
        <w:jc w:val="center"/>
        <w:rPr>
          <w:rFonts w:ascii="Arial" w:hAnsi="Arial"/>
          <w:caps/>
          <w:color w:val="000000"/>
          <w:sz w:val="13"/>
        </w:rPr>
      </w:pPr>
      <w:r>
        <w:rPr>
          <w:rFonts w:ascii="Arial" w:hAnsi="Arial"/>
          <w:caps/>
          <w:color w:val="000000"/>
          <w:sz w:val="13"/>
        </w:rPr>
        <w:t>jonesday.com</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August 6, 2026</w:t>
      </w:r>
    </w:p>
    <w:p>
      <w:pPr>
        <w:pStyle w:val="TextBody"/>
        <w:bidi w:val="0"/>
        <w:jc w:val="left"/>
        <w:rPr>
          <w:rFonts w:ascii="Times New Roman" w:hAnsi="Times New Roman"/>
          <w:color w:val="000000"/>
          <w:sz w:val="20"/>
        </w:rPr>
      </w:pPr>
      <w:r>
        <w:rPr>
          <w:rFonts w:ascii="Times New Roman" w:hAnsi="Times New Roman"/>
          <w:color w:val="000000"/>
          <w:sz w:val="20"/>
        </w:rPr>
        <w:t xml:space="preserve">Cellectis S.A. </w:t>
      </w:r>
    </w:p>
    <w:p>
      <w:pPr>
        <w:pStyle w:val="TextBody"/>
        <w:bidi w:val="0"/>
        <w:jc w:val="left"/>
        <w:rPr>
          <w:rFonts w:ascii="Times New Roman" w:hAnsi="Times New Roman"/>
          <w:color w:val="000000"/>
          <w:sz w:val="20"/>
        </w:rPr>
      </w:pPr>
      <w:r>
        <w:rPr>
          <w:rFonts w:ascii="Times New Roman" w:hAnsi="Times New Roman"/>
          <w:color w:val="000000"/>
          <w:sz w:val="20"/>
        </w:rPr>
        <w:t xml:space="preserve">8, rue de la Croix Jarry </w:t>
      </w:r>
    </w:p>
    <w:p>
      <w:pPr>
        <w:pStyle w:val="TextBody"/>
        <w:bidi w:val="0"/>
        <w:jc w:val="left"/>
        <w:rPr>
          <w:rFonts w:ascii="Times New Roman" w:hAnsi="Times New Roman"/>
          <w:color w:val="000000"/>
          <w:sz w:val="20"/>
        </w:rPr>
      </w:pPr>
      <w:r>
        <w:rPr>
          <w:rFonts w:ascii="Times New Roman" w:hAnsi="Times New Roman"/>
          <w:color w:val="000000"/>
          <w:sz w:val="20"/>
        </w:rPr>
        <w:t xml:space="preserve">75013 Paris, France </w:t>
      </w:r>
    </w:p>
    <w:p>
      <w:pPr>
        <w:pStyle w:val="TextBody"/>
        <w:bidi w:val="0"/>
        <w:jc w:val="left"/>
        <w:rPr/>
      </w:pPr>
      <w:r>
        <w:rPr/>
        <w:t> </w:t>
      </w:r>
    </w:p>
    <w:tbl>
      <w:tblPr>
        <w:tblW w:w="5413" w:type="dxa"/>
        <w:jc w:val="left"/>
        <w:tblInd w:w="0" w:type="dxa"/>
        <w:tblLayout w:type="fixed"/>
        <w:tblCellMar>
          <w:top w:w="28" w:type="dxa"/>
          <w:left w:w="28" w:type="dxa"/>
          <w:bottom w:w="28" w:type="dxa"/>
          <w:right w:w="28" w:type="dxa"/>
        </w:tblCellMar>
      </w:tblPr>
      <w:tblGrid>
        <w:gridCol w:w="161"/>
        <w:gridCol w:w="391"/>
        <w:gridCol w:w="486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Re:</w:t>
            </w:r>
          </w:p>
        </w:tc>
        <w:tc>
          <w:tcPr>
            <w:tcW w:w="48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u w:val="single"/>
              </w:rPr>
            </w:pPr>
            <w:r>
              <w:rPr>
                <w:rFonts w:ascii="Times New Roman" w:hAnsi="Times New Roman"/>
                <w:color w:val="000000"/>
                <w:sz w:val="20"/>
                <w:u w:val="single"/>
              </w:rPr>
              <w:t>Registration Statement on Form S-8 filed by Cellectis S.A.</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0" w:after="240"/>
        <w:jc w:val="left"/>
        <w:rPr>
          <w:rFonts w:ascii="Times New Roman" w:hAnsi="Times New Roman"/>
          <w:sz w:val="20"/>
        </w:rPr>
      </w:pPr>
      <w:r>
        <w:rPr>
          <w:rFonts w:ascii="Times New Roman" w:hAnsi="Times New Roman"/>
          <w:color w:val="000000"/>
          <w:sz w:val="20"/>
        </w:rPr>
        <w:t>We are acting as counsel for Cellectis S.A. (the “</w:t>
      </w:r>
      <w:r>
        <w:rPr>
          <w:rFonts w:ascii="Times New Roman" w:hAnsi="Times New Roman"/>
          <w:color w:val="000000"/>
          <w:sz w:val="20"/>
          <w:u w:val="single"/>
        </w:rPr>
        <w:t>Company</w:t>
      </w:r>
      <w:r>
        <w:rPr>
          <w:rFonts w:ascii="Times New Roman" w:hAnsi="Times New Roman"/>
          <w:color w:val="000000"/>
          <w:sz w:val="20"/>
        </w:rPr>
        <w:t xml:space="preserve">”), a French </w:t>
      </w:r>
      <w:r>
        <w:rPr>
          <w:rFonts w:ascii="Times New Roman" w:hAnsi="Times New Roman"/>
          <w:i/>
          <w:color w:val="000000"/>
          <w:sz w:val="20"/>
        </w:rPr>
        <w:t>société anonyme</w:t>
      </w:r>
      <w:r>
        <w:rPr>
          <w:rFonts w:ascii="Times New Roman" w:hAnsi="Times New Roman"/>
          <w:color w:val="000000"/>
          <w:sz w:val="20"/>
        </w:rPr>
        <w:t>, in connection with the registration of (i) up to 4,023,640 ordinary shares of the Company, par value €0.05 per share, pursuant to the 2026 Stock Option Plan and (ii) up to 4,023,640 ordinary shares of the Company, par value €0.05 per share, pursuant to the 2026 Free Shares Plan, subject to an aggregate maximum amount of 4,023,640 ordinary shares being issued (the “</w:t>
      </w:r>
      <w:r>
        <w:rPr>
          <w:rFonts w:ascii="Times New Roman" w:hAnsi="Times New Roman"/>
          <w:color w:val="000000"/>
          <w:sz w:val="20"/>
          <w:u w:val="single"/>
        </w:rPr>
        <w:t>Aggregate Cap</w:t>
      </w:r>
      <w:r>
        <w:rPr>
          <w:rFonts w:ascii="Times New Roman" w:hAnsi="Times New Roman"/>
          <w:color w:val="000000"/>
          <w:sz w:val="20"/>
        </w:rPr>
        <w:t>”) pursuant to the 2026 Stock Option Plan and the 2026 Free Shares Plan (such shares, subject to the Aggregate Cap, the “</w:t>
      </w:r>
      <w:r>
        <w:rPr>
          <w:rFonts w:ascii="Times New Roman" w:hAnsi="Times New Roman"/>
          <w:color w:val="000000"/>
          <w:sz w:val="20"/>
          <w:u w:val="single"/>
        </w:rPr>
        <w:t>Shares</w:t>
      </w:r>
      <w:r>
        <w:rPr>
          <w:rFonts w:ascii="Times New Roman" w:hAnsi="Times New Roman"/>
          <w:color w:val="000000"/>
          <w:sz w:val="20"/>
        </w:rPr>
        <w:t>”), issuable upon exercise of stock options or upon settlement of free shares which may be granted, or issued, by the board of directors upon delegation of authority from the Company’s shareholders approved on June 25, 2026 (together with the 2026 Stock Option Plan and the 2026 Free Shares Plan, the “</w:t>
      </w:r>
      <w:r>
        <w:rPr>
          <w:rFonts w:ascii="Times New Roman" w:hAnsi="Times New Roman"/>
          <w:color w:val="000000"/>
          <w:sz w:val="20"/>
          <w:u w:val="single"/>
        </w:rPr>
        <w:t>Plans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opinion expressed herein, we have examined such documents, records and matters of law as we have deemed relevant or necessary for purposes of this opinion. Based on the foregoing, and subject to the further limitations, qualifications and assumptions set forth herein, we are of the opinion that the Shares that may be issued pursuant to the Plans have been duly authorized and, when issued in accordance with the Plans and against payment of due consideration therefor, will be validly issued, fully paid and non-assessable.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term “non-assessable”, which has no recognized meaning in French law, for the purposes of this opinion means that no present or future holder of the Shares will be subject to personal liability, by reason of being such a holder, for additional payments or calls for further funds by the Company or any other person after the issuance of such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opinion expressed herein is limited to the laws of France as currently in effect, and we express no opinion as to the effect of the laws of any other jurisdiction. We have assumed that the Company will take no action inconsistent with the resolutions authorizing the Company to issue the Shares. We have also assumed, for any future awards under the Plans, that (1) the resolutions authorizing the Company to issue the Shares pursuant to the Plans and the applicable award agreements will be in full force and effect on the date of such awards and (2) such future awards will be approved by the Board of Directors of the Company in accordance with applicable law and with the terms of the Plans. </w:t>
      </w:r>
    </w:p>
    <w:p>
      <w:pPr>
        <w:pStyle w:val="TextBody"/>
        <w:bidi w:val="0"/>
        <w:spacing w:before="0" w:after="240"/>
        <w:jc w:val="left"/>
        <w:rPr>
          <w:rFonts w:ascii="Times New Roman" w:hAnsi="Times New Roman"/>
          <w:sz w:val="20"/>
        </w:rPr>
      </w:pPr>
      <w:r>
        <w:rPr>
          <w:rFonts w:ascii="Times New Roman" w:hAnsi="Times New Roman"/>
          <w:color w:val="000000"/>
          <w:sz w:val="20"/>
        </w:rPr>
        <w:t>We hereby consent to the filing of this opinion as Exhibit 5.1 to the Registration Statement on Form S-8 filed by the Company to effect registration of the Shares to be issued and sold pursuant to the Plans under the Securities Act of 1933 (the “</w:t>
      </w:r>
      <w:r>
        <w:rPr>
          <w:rFonts w:ascii="Times New Roman" w:hAnsi="Times New Roman"/>
          <w:color w:val="000000"/>
          <w:sz w:val="20"/>
          <w:u w:val="single"/>
        </w:rPr>
        <w:t>Act</w:t>
      </w:r>
      <w:r>
        <w:rPr>
          <w:rFonts w:ascii="Times New Roman" w:hAnsi="Times New Roman"/>
          <w:color w:val="000000"/>
          <w:sz w:val="20"/>
        </w:rPr>
        <w:t xml:space="preserve">”). In giving such consent, we do not thereby admit that we are included in the category of persons whose consent is required under Section 7 of the Act or the rules and regulations of the Securities and Exchange Commission promulgated thereunder.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 Jones Day</w:t>
      </w:r>
    </w:p>
    <w:p>
      <w:pPr>
        <w:pStyle w:val="TextBody"/>
        <w:bidi w:val="0"/>
        <w:spacing w:before="0" w:after="240"/>
        <w:jc w:val="left"/>
        <w:rPr>
          <w:rFonts w:ascii="Arial" w:hAnsi="Arial"/>
          <w:color w:val="000000"/>
          <w:sz w:val="12"/>
        </w:rPr>
      </w:pPr>
      <w:r>
        <w:rPr>
          <w:rFonts w:ascii="Arial" w:hAnsi="Arial"/>
          <w:color w:val="000000"/>
          <w:sz w:val="12"/>
        </w:rPr>
        <w:t>BUREAUX: AMSTERDAM · ATLANTA · BOSTON · BRISBANE · BRUXELLES · CHICAGO · CLEVELAND · COLUMBUS · DALLAS</w:t>
        <w:br/>
        <w:t>DETROIT · DUBAÏ · DÜSSELDORF · FRANCFORT · HONG KONG · HOUSTON · IRVINE · LONDRES · LOS ANGELES · MADRID</w:t>
        <w:br/>
        <w:t>MELBOURNE · MEXICO CITY · MIAMI · MILAN · MINNEAPOLIS · MUNICH · NEW YORK · PARIS · PÉKIN · PERTH · PITTSBURGH</w:t>
        <w:br/>
        <w:t>SAN DIEGO · SAN FRANCISCO · SÃO PAULO · SHANGHAÏ · SILICON VALLEY · SINGAPOUR · SYDNEY · TAÏPEI · TOKYO · WASHINGTON</w:t>
      </w:r>
    </w:p>
    <w:p>
      <w:pPr>
        <w:pStyle w:val="HorizontalLine"/>
        <w:pBdr>
          <w:bottom w:val="double" w:sz="2" w:space="0" w:color="808080"/>
        </w:pBdr>
        <w:bidi w:val="0"/>
        <w:spacing w:before="0" w:after="283"/>
        <w:jc w:val="left"/>
        <w:rPr/>
      </w:pPr>
      <w:r>
        <w:rPr/>
      </w:r>
    </w:p>
    <w:p>
      <w:pPr>
        <w:pStyle w:val="TextBody"/>
        <w:bidi w:val="0"/>
        <w:jc w:val="right"/>
        <w:rPr/>
      </w:pPr>
      <w:bookmarkStart w:id="6" w:name="clls-ex23_1.htm"/>
      <w:bookmarkStart w:id="7" w:name="kscllsex23_1"/>
      <w:bookmarkEnd w:id="6"/>
      <w:bookmarkEnd w:id="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pertaining to the 2026 Stock Option Plan and 2026 Free Shares Plan of Cellectis S.A. of our report dated April 29, 2024, with respect to the consolidated financial statements of Cellectis S.A. included in its Annual Report (Form 20-F) for the year ended December 31, 2025, filed with the Securities and Exchange Commission.</w:t>
      </w:r>
    </w:p>
    <w:p>
      <w:pPr>
        <w:pStyle w:val="TextBody"/>
        <w:bidi w:val="0"/>
        <w:spacing w:before="360" w:after="283"/>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/s/ ERNST &amp; YOUNG et Autres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Lille, France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August 6,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20" w:after="283"/>
        <w:jc w:val="right"/>
        <w:rPr/>
      </w:pPr>
      <w:bookmarkStart w:id="8" w:name="clls-ex23_2.htm"/>
      <w:bookmarkStart w:id="9" w:name="kscllsex23_2"/>
      <w:bookmarkEnd w:id="8"/>
      <w:bookmarkEnd w:id="9"/>
      <w:r>
        <w:rPr/>
        <w:t> </w:t>
      </w:r>
      <w:r>
        <w:br w:type="page"/>
      </w:r>
    </w:p>
    <w:p>
      <w:pPr>
        <w:pStyle w:val="TextBody"/>
        <w:bidi w:val="0"/>
        <w:spacing w:before="720" w:after="283"/>
        <w:jc w:val="right"/>
        <w:rPr>
          <w:rFonts w:ascii="Arial" w:hAnsi="Arial"/>
          <w:b/>
          <w:color w:val="000000"/>
          <w:sz w:val="20"/>
        </w:rPr>
      </w:pPr>
      <w:r>
        <w:rPr>
          <w:rFonts w:ascii="Arial" w:hAnsi="Arial"/>
          <w:b/>
          <w:color w:val="000000"/>
          <w:sz w:val="20"/>
        </w:rPr>
        <w:t>Exhibit 23.2</w:t>
      </w:r>
    </w:p>
    <w:p>
      <w:pPr>
        <w:pStyle w:val="TextBody"/>
        <w:bidi w:val="0"/>
        <w:jc w:val="left"/>
        <w:rPr/>
      </w:pPr>
      <w:r>
        <w:rPr/>
        <w:drawing>
          <wp:inline distT="0" distB="0" distL="0" distR="0">
            <wp:extent cx="11715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171575" cy="63817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olor w:val="000000"/>
          <w:sz w:val="15"/>
        </w:rPr>
      </w:pPr>
      <w:r>
        <w:rPr>
          <w:rFonts w:ascii="Arial" w:hAnsi="Arial"/>
          <w:b/>
          <w:color w:val="000000"/>
          <w:sz w:val="15"/>
        </w:rPr>
        <w:t>KPMG SA</w:t>
      </w:r>
    </w:p>
    <w:p>
      <w:pPr>
        <w:pStyle w:val="TextBody"/>
        <w:bidi w:val="0"/>
        <w:jc w:val="left"/>
        <w:rPr>
          <w:rFonts w:ascii="Arial" w:hAnsi="Arial"/>
          <w:color w:val="000000"/>
          <w:sz w:val="15"/>
        </w:rPr>
      </w:pPr>
      <w:r>
        <w:rPr>
          <w:rFonts w:ascii="Arial" w:hAnsi="Arial"/>
          <w:color w:val="000000"/>
          <w:sz w:val="15"/>
        </w:rPr>
        <w:t>Tour EQHO</w:t>
      </w:r>
    </w:p>
    <w:p>
      <w:pPr>
        <w:pStyle w:val="TextBody"/>
        <w:bidi w:val="0"/>
        <w:jc w:val="left"/>
        <w:rPr>
          <w:rFonts w:ascii="Arial" w:hAnsi="Arial"/>
          <w:color w:val="000000"/>
          <w:sz w:val="15"/>
        </w:rPr>
      </w:pPr>
      <w:r>
        <w:rPr>
          <w:rFonts w:ascii="Arial" w:hAnsi="Arial"/>
          <w:color w:val="000000"/>
          <w:sz w:val="15"/>
        </w:rPr>
        <w:t>2 Avenue Gambetta</w:t>
        <w:br/>
        <w:t>CS 60055</w:t>
        <w:br/>
        <w:t>92066 Paris La Défense Cedex</w:t>
      </w:r>
    </w:p>
    <w:p>
      <w:pPr>
        <w:pStyle w:val="TextBody"/>
        <w:bidi w:val="0"/>
        <w:spacing w:before="0" w:after="400"/>
        <w:jc w:val="center"/>
        <w:rPr/>
      </w:pPr>
      <w:r>
        <w:rPr/>
        <w:t> </w:t>
      </w:r>
    </w:p>
    <w:p>
      <w:pPr>
        <w:pStyle w:val="TextBody"/>
        <w:bidi w:val="0"/>
        <w:spacing w:before="0" w:after="400"/>
        <w:jc w:val="center"/>
        <w:rPr/>
      </w:pPr>
      <w:r>
        <w:rPr/>
        <w:t> </w:t>
      </w:r>
    </w:p>
    <w:p>
      <w:pPr>
        <w:pStyle w:val="TextBody"/>
        <w:bidi w:val="0"/>
        <w:spacing w:before="0" w:after="4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use of our reports dated March 19, 2026, with respect to the consolidated financial statements of Cellectis S.A., and the effectiveness of internal control over financial reporting, incorporated herein by reference.</w:t>
      </w:r>
    </w:p>
    <w:p>
      <w:pPr>
        <w:pStyle w:val="TextBody"/>
        <w:bidi w:val="0"/>
        <w:spacing w:before="0" w:after="200"/>
        <w:jc w:val="center"/>
        <w:rPr/>
      </w:pPr>
      <w:r>
        <w:rPr/>
        <w:t> </w:t>
      </w:r>
    </w:p>
    <w:p>
      <w:pPr>
        <w:pStyle w:val="TextBody"/>
        <w:bidi w:val="0"/>
        <w:jc w:val="left"/>
        <w:rPr>
          <w:rFonts w:ascii="Arial" w:hAnsi="Arial"/>
          <w:color w:val="000000"/>
          <w:sz w:val="20"/>
        </w:rPr>
      </w:pPr>
      <w:r>
        <w:rPr>
          <w:rFonts w:ascii="Arial" w:hAnsi="Arial"/>
          <w:color w:val="000000"/>
          <w:sz w:val="20"/>
        </w:rPr>
        <w:t>/s/ KPMG S.A.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Cédric Adens Vaea Prior</w:t>
      </w:r>
    </w:p>
    <w:p>
      <w:pPr>
        <w:pStyle w:val="TextBody"/>
        <w:bidi w:val="0"/>
        <w:jc w:val="left"/>
        <w:rPr>
          <w:rFonts w:ascii="Arial" w:hAnsi="Arial"/>
          <w:color w:val="000000"/>
          <w:sz w:val="20"/>
        </w:rPr>
      </w:pPr>
      <w:r>
        <w:rPr>
          <w:rFonts w:ascii="Arial" w:hAnsi="Arial"/>
          <w:color w:val="000000"/>
          <w:sz w:val="20"/>
        </w:rPr>
        <w:t>Partner Partner</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Paris La Défense, France</w:t>
      </w:r>
    </w:p>
    <w:p>
      <w:pPr>
        <w:pStyle w:val="TextBody"/>
        <w:bidi w:val="0"/>
        <w:jc w:val="left"/>
        <w:rPr>
          <w:rFonts w:ascii="Arial" w:hAnsi="Arial"/>
          <w:color w:val="000000"/>
          <w:sz w:val="20"/>
        </w:rPr>
      </w:pPr>
      <w:r>
        <w:rPr>
          <w:rFonts w:ascii="Arial" w:hAnsi="Arial"/>
          <w:color w:val="000000"/>
          <w:sz w:val="20"/>
        </w:rPr>
        <w:t>August 6, 2026</w:t>
      </w:r>
    </w:p>
    <w:p>
      <w:pPr>
        <w:pStyle w:val="TextBody"/>
        <w:bidi w:val="0"/>
        <w:spacing w:before="0" w:after="20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0" w:name="clls-ex99_1.htm"/>
      <w:bookmarkStart w:id="11" w:name="kscllsex99_1"/>
      <w:bookmarkEnd w:id="10"/>
      <w:bookmarkEnd w:id="11"/>
      <w:r>
        <w:rPr/>
        <w:t> </w:t>
      </w:r>
      <w:r>
        <w:br w:type="page"/>
      </w:r>
    </w:p>
    <w:p>
      <w:pPr>
        <w:pStyle w:val="TextBody"/>
        <w:bidi w:val="0"/>
        <w:jc w:val="right"/>
        <w:rPr/>
      </w:pPr>
      <w:r>
        <w:rPr/>
        <w:t> </w:t>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790825" cy="1114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790825" cy="11144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CELLECTIS</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2026 STOCK OPTION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CELLECTIS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2026 STOCK OPTION PLAN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 </w:t>
      </w:r>
      <w:r>
        <w:rPr>
          <w:rFonts w:ascii="Arial" w:hAnsi="Arial"/>
          <w:b/>
          <w:smallCaps/>
          <w:color w:val="000000"/>
          <w:sz w:val="20"/>
          <w:u w:val="single"/>
        </w:rPr>
        <w:t>Purposes of the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According to the authorization granted by the combined ordinary and extraordinary shareholders’ general meeting dated June 25, 2026, the board of directors decided on August 6, 2026, in compliance with the provisions of articles L. 225-177 </w:t>
      </w:r>
      <w:r>
        <w:rPr>
          <w:rFonts w:ascii="Arial" w:hAnsi="Arial"/>
          <w:i/>
          <w:color w:val="000000"/>
          <w:sz w:val="20"/>
        </w:rPr>
        <w:t>et seq</w:t>
      </w:r>
      <w:r>
        <w:rPr>
          <w:rFonts w:ascii="Arial" w:hAnsi="Arial"/>
          <w:color w:val="000000"/>
          <w:sz w:val="20"/>
        </w:rPr>
        <w:t>. of the French Commercial Code, to adopt the 2026 stock option plan of CELLECTIS, the terms and conditions of which are set out below.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purposes of the Plan are: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to attract and retain the best available personnel for positions of substantial responsibility;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to provide additional incentive to Beneficiaries; and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to promote the success of the Company's business.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Options granted under the Plan to U.S. Beneficiaries are intended to be Non-Statutory Stock Options, as determined by the Administrator at the time of grant of an Option.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2. </w:t>
      </w:r>
      <w:r>
        <w:rPr>
          <w:rFonts w:ascii="Arial" w:hAnsi="Arial"/>
          <w:b/>
          <w:smallCaps/>
          <w:color w:val="000000"/>
          <w:sz w:val="20"/>
          <w:u w:val="single"/>
        </w:rPr>
        <w:t>Definitions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pPr>
      <w:r>
        <w:rPr>
          <w:rFonts w:ascii="Arial" w:hAnsi="Arial"/>
          <w:color w:val="000000"/>
          <w:sz w:val="20"/>
        </w:rPr>
        <w:t>"</w:t>
      </w:r>
      <w:r>
        <w:rPr>
          <w:rFonts w:ascii="Arial" w:hAnsi="Arial"/>
          <w:b/>
          <w:color w:val="000000"/>
          <w:sz w:val="20"/>
        </w:rPr>
        <w:t>Administrator</w:t>
      </w:r>
      <w:r>
        <w:rPr>
          <w:rFonts w:ascii="Arial" w:hAnsi="Arial"/>
          <w:color w:val="000000"/>
          <w:sz w:val="20"/>
        </w:rPr>
        <w:t>" means the board of directors of the Company which shall administer the Plan in accordance with Section 4 of the Plan.</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pPr>
      <w:r>
        <w:rPr>
          <w:rFonts w:ascii="Arial" w:hAnsi="Arial"/>
          <w:color w:val="000000"/>
          <w:sz w:val="20"/>
        </w:rPr>
        <w:t>"</w:t>
      </w:r>
      <w:r>
        <w:rPr>
          <w:rFonts w:ascii="Arial" w:hAnsi="Arial"/>
          <w:b/>
          <w:color w:val="000000"/>
          <w:sz w:val="20"/>
        </w:rPr>
        <w:t>Affiliated Company</w:t>
      </w:r>
      <w:r>
        <w:rPr>
          <w:rFonts w:ascii="Arial" w:hAnsi="Arial"/>
          <w:color w:val="000000"/>
          <w:sz w:val="20"/>
        </w:rPr>
        <w:t>" means a company which conforms with the criteria set forth in article L. 225-180 of the French Commercial Code as follows: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companies of which at least ten per cent (10%) of the share capital or voting rights is held directly or indirectly by the Company;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companies which own directly or indirectly at least ten per cent (10%) of the share capital or voting rights of the Company; and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companies of which at least fifty per cent (50%) of the share capital or voting rights is held directly or indirectly by a company which owns directly or indirectly at least fifty percent (50%) of the share capital or voting rights of the Company.</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pPr>
      <w:r>
        <w:rPr>
          <w:rFonts w:ascii="Arial" w:hAnsi="Arial"/>
          <w:color w:val="000000"/>
          <w:sz w:val="20"/>
        </w:rPr>
        <w:t>"</w:t>
      </w:r>
      <w:r>
        <w:rPr>
          <w:rFonts w:ascii="Arial" w:hAnsi="Arial"/>
          <w:b/>
          <w:color w:val="000000"/>
          <w:sz w:val="20"/>
        </w:rPr>
        <w:t>Applicable Laws</w:t>
      </w:r>
      <w:r>
        <w:rPr>
          <w:rFonts w:ascii="Arial" w:hAnsi="Arial"/>
          <w:color w:val="000000"/>
          <w:sz w:val="20"/>
        </w:rPr>
        <w:t>" means for the U.S. the legal requirements relating to the administration of stock option plans under federal and state corporate and securities laws and the Code in force in the United States of America.</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pPr>
      <w:r>
        <w:rPr>
          <w:rFonts w:ascii="Arial" w:hAnsi="Arial"/>
          <w:color w:val="000000"/>
          <w:sz w:val="20"/>
        </w:rPr>
        <w:t>"</w:t>
      </w:r>
      <w:r>
        <w:rPr>
          <w:rFonts w:ascii="Arial" w:hAnsi="Arial"/>
          <w:b/>
          <w:color w:val="000000"/>
          <w:sz w:val="20"/>
        </w:rPr>
        <w:t>Beneficiary</w:t>
      </w:r>
      <w:r>
        <w:rPr>
          <w:rFonts w:ascii="Arial" w:hAnsi="Arial"/>
          <w:color w:val="000000"/>
          <w:sz w:val="20"/>
        </w:rPr>
        <w:t>" means the chairperson of the board of directors (</w:t>
      </w:r>
      <w:r>
        <w:rPr>
          <w:rFonts w:ascii="Arial" w:hAnsi="Arial"/>
          <w:i/>
          <w:color w:val="000000"/>
          <w:sz w:val="20"/>
        </w:rPr>
        <w:t>président du conseil d’administration)</w:t>
      </w:r>
      <w:r>
        <w:rPr>
          <w:rFonts w:ascii="Arial" w:hAnsi="Arial"/>
          <w:color w:val="000000"/>
          <w:sz w:val="20"/>
        </w:rPr>
        <w:t>, the general manager (</w:t>
      </w:r>
      <w:r>
        <w:rPr>
          <w:rFonts w:ascii="Arial" w:hAnsi="Arial"/>
          <w:i/>
          <w:color w:val="000000"/>
          <w:sz w:val="20"/>
        </w:rPr>
        <w:t>directeur général)</w:t>
      </w:r>
      <w:r>
        <w:rPr>
          <w:color w:val="000000"/>
        </w:rPr>
        <w:t xml:space="preserve"> </w:t>
      </w:r>
      <w:r>
        <w:rPr>
          <w:rFonts w:ascii="Arial" w:hAnsi="Arial"/>
          <w:color w:val="000000"/>
          <w:sz w:val="20"/>
        </w:rPr>
        <w:t>and the deputy general managers (</w:t>
      </w:r>
      <w:r>
        <w:rPr>
          <w:rFonts w:ascii="Arial" w:hAnsi="Arial"/>
          <w:i/>
          <w:color w:val="000000"/>
          <w:sz w:val="20"/>
        </w:rPr>
        <w:t>directeurs généraux délégués)</w:t>
      </w:r>
      <w:r>
        <w:rPr>
          <w:color w:val="000000"/>
        </w:rPr>
        <w:t xml:space="preserve"> </w:t>
      </w:r>
      <w:r>
        <w:rPr>
          <w:rFonts w:ascii="Arial" w:hAnsi="Arial"/>
          <w:color w:val="000000"/>
          <w:sz w:val="20"/>
        </w:rPr>
        <w:t>or, as the case may be, the president and the members of the management board (</w:t>
      </w:r>
      <w:r>
        <w:rPr>
          <w:rFonts w:ascii="Arial" w:hAnsi="Arial"/>
          <w:i/>
          <w:color w:val="000000"/>
          <w:sz w:val="20"/>
        </w:rPr>
        <w:t xml:space="preserve">président et membres du directoire) </w:t>
      </w:r>
      <w:r>
        <w:rPr>
          <w:rFonts w:ascii="Arial" w:hAnsi="Arial"/>
          <w:color w:val="000000"/>
          <w:sz w:val="20"/>
        </w:rPr>
        <w:t>of the Company as well as any individual employed by the Company or by any Affiliated Company under the terms and conditions of an employment contract or otherwise under Applicable Law, it being specified that a term of office of director of the Company or director of an Affiliated Company (remunerated or not) shall not be deemed to constitute an employment relationship.</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pPr>
      <w:r>
        <w:rPr>
          <w:rFonts w:ascii="Arial" w:hAnsi="Arial"/>
          <w:color w:val="000000"/>
          <w:sz w:val="20"/>
        </w:rPr>
        <w:t>"</w:t>
      </w:r>
      <w:r>
        <w:rPr>
          <w:rFonts w:ascii="Arial" w:hAnsi="Arial"/>
          <w:b/>
          <w:color w:val="000000"/>
          <w:sz w:val="20"/>
        </w:rPr>
        <w:t>Board</w:t>
      </w:r>
      <w:r>
        <w:rPr>
          <w:rFonts w:ascii="Arial" w:hAnsi="Arial"/>
          <w:color w:val="000000"/>
          <w:sz w:val="20"/>
        </w:rPr>
        <w:t>" means the board of directors (</w:t>
      </w:r>
      <w:r>
        <w:rPr>
          <w:rFonts w:ascii="Arial" w:hAnsi="Arial"/>
          <w:i/>
          <w:color w:val="000000"/>
          <w:sz w:val="20"/>
        </w:rPr>
        <w:t>conseil d’administration</w:t>
      </w:r>
      <w:r>
        <w:rPr>
          <w:rFonts w:ascii="Arial" w:hAnsi="Arial"/>
          <w:color w:val="000000"/>
          <w:sz w:val="20"/>
        </w:rPr>
        <w:t>) of the Company.</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pPr>
      <w:r>
        <w:rPr>
          <w:rFonts w:ascii="Arial" w:hAnsi="Arial"/>
          <w:color w:val="000000"/>
          <w:sz w:val="20"/>
        </w:rPr>
        <w:t>"</w:t>
      </w:r>
      <w:r>
        <w:rPr>
          <w:rFonts w:ascii="Arial" w:hAnsi="Arial"/>
          <w:b/>
          <w:color w:val="000000"/>
          <w:sz w:val="20"/>
        </w:rPr>
        <w:t>Code</w:t>
      </w:r>
      <w:r>
        <w:rPr>
          <w:rFonts w:ascii="Arial" w:hAnsi="Arial"/>
          <w:color w:val="000000"/>
          <w:sz w:val="20"/>
        </w:rPr>
        <w:t>" means the United States Internal Revenue Code of 1986, as amended.</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pPr>
      <w:r>
        <w:rPr>
          <w:rFonts w:ascii="Arial" w:hAnsi="Arial"/>
          <w:color w:val="000000"/>
          <w:sz w:val="20"/>
        </w:rPr>
        <w:t>"</w:t>
      </w:r>
      <w:r>
        <w:rPr>
          <w:rFonts w:ascii="Arial" w:hAnsi="Arial"/>
          <w:b/>
          <w:color w:val="000000"/>
          <w:sz w:val="20"/>
        </w:rPr>
        <w:t>Commercial Code</w:t>
      </w:r>
      <w:r>
        <w:rPr>
          <w:rFonts w:ascii="Arial" w:hAnsi="Arial"/>
          <w:color w:val="000000"/>
          <w:sz w:val="20"/>
        </w:rPr>
        <w:t>" means the French Commercial Code.</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pPr>
      <w:r>
        <w:rPr>
          <w:rFonts w:ascii="Arial" w:hAnsi="Arial"/>
          <w:color w:val="000000"/>
          <w:sz w:val="20"/>
        </w:rPr>
        <w:t>"</w:t>
      </w:r>
      <w:r>
        <w:rPr>
          <w:rFonts w:ascii="Arial" w:hAnsi="Arial"/>
          <w:b/>
          <w:color w:val="000000"/>
          <w:sz w:val="20"/>
        </w:rPr>
        <w:t>Company</w:t>
      </w:r>
      <w:r>
        <w:rPr>
          <w:rFonts w:ascii="Arial" w:hAnsi="Arial"/>
          <w:color w:val="000000"/>
          <w:sz w:val="20"/>
        </w:rPr>
        <w:t>" means CELLECTIS S.A., a corporation organized under the laws of the Republic of France.</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pPr>
      <w:r>
        <w:rPr>
          <w:color w:val="000000"/>
        </w:rPr>
        <w:t>“</w:t>
      </w:r>
      <w:r>
        <w:rPr>
          <w:rFonts w:ascii="Arial" w:hAnsi="Arial"/>
          <w:b/>
          <w:color w:val="000000"/>
          <w:sz w:val="20"/>
        </w:rPr>
        <w:t>Clawback Policy”</w:t>
      </w:r>
      <w:r>
        <w:rPr>
          <w:color w:val="000000"/>
        </w:rPr>
        <w:t xml:space="preserve"> </w:t>
      </w:r>
      <w:r>
        <w:rPr>
          <w:rFonts w:ascii="Arial" w:hAnsi="Arial"/>
          <w:color w:val="000000"/>
          <w:sz w:val="20"/>
        </w:rPr>
        <w:t xml:space="preserve">means the Company’s Compensation Recoupment Policty and any other standalone recoupment or clawback policy established by the Company as may be in effect from time to time, including, as applicable, a policy established pursuant to Section 10D of the Exchange Act and any applicable rules or regulations promulgated by the U.S. Securities and Exchange Commission or any national exchange of national securities association on which the Shares may be traded.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(j)</w:t>
      </w:r>
    </w:p>
    <w:p>
      <w:pPr>
        <w:pStyle w:val="TextBody"/>
        <w:bidi w:val="0"/>
        <w:jc w:val="both"/>
        <w:rPr/>
      </w:pPr>
      <w:r>
        <w:rPr>
          <w:rFonts w:ascii="Arial" w:hAnsi="Arial"/>
          <w:color w:val="000000"/>
          <w:sz w:val="20"/>
        </w:rPr>
        <w:t>"</w:t>
      </w:r>
      <w:r>
        <w:rPr>
          <w:rFonts w:ascii="Arial" w:hAnsi="Arial"/>
          <w:b/>
          <w:color w:val="000000"/>
          <w:sz w:val="20"/>
        </w:rPr>
        <w:t>Continuous Status as a Beneficiary</w:t>
      </w:r>
      <w:r>
        <w:rPr>
          <w:rFonts w:ascii="Arial" w:hAnsi="Arial"/>
          <w:color w:val="000000"/>
          <w:sz w:val="20"/>
        </w:rPr>
        <w:t xml:space="preserve">" means as regards the president of the board of directors, the general manager, the deputy general manager(s) or, as the case may be, the president and the members of the management board that the term of their office has not been terminated and, as regards an employee that the employment relationship between the Beneficiary and the Company or any Affiliated Company is not terminated. Continuous Status as a Beneficiary shall not be considered terminated in the case of (i) any leave of absence having received a prior approval from the Company or requiring no prior approval under U.S. laws, or (ii) transfers between locations of the Company or between the Company or any Affiliated Company or the contrary or also from an Affiliated Company to another Affiliated Company. Leaves of absence which must receive a prior approval from the Company for the non-termination of the Continuous Status as a Beneficiary shall include leaves of more than three (3) months for illnesses or conditions about which the employee has advance knowledge, military leave, or any other personal leave.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(k)</w:t>
      </w:r>
    </w:p>
    <w:p>
      <w:pPr>
        <w:pStyle w:val="TextBody"/>
        <w:bidi w:val="0"/>
        <w:jc w:val="both"/>
        <w:rPr/>
      </w:pPr>
      <w:r>
        <w:rPr>
          <w:rFonts w:ascii="Arial" w:hAnsi="Arial"/>
          <w:color w:val="000000"/>
          <w:sz w:val="20"/>
        </w:rPr>
        <w:t>"</w:t>
      </w:r>
      <w:r>
        <w:rPr>
          <w:rFonts w:ascii="Arial" w:hAnsi="Arial"/>
          <w:b/>
          <w:color w:val="000000"/>
          <w:sz w:val="20"/>
        </w:rPr>
        <w:t>Date of Grant</w:t>
      </w:r>
      <w:r>
        <w:rPr>
          <w:rFonts w:ascii="Arial" w:hAnsi="Arial"/>
          <w:color w:val="000000"/>
          <w:sz w:val="20"/>
        </w:rPr>
        <w:t>"</w:t>
      </w:r>
      <w:r>
        <w:rPr>
          <w:color w:val="000000"/>
        </w:rPr>
        <w:t xml:space="preserve"> </w:t>
      </w:r>
      <w:r>
        <w:rPr>
          <w:rFonts w:ascii="Arial" w:hAnsi="Arial"/>
          <w:color w:val="000000"/>
          <w:sz w:val="20"/>
        </w:rPr>
        <w:t>means the date of the decision of the Board to grant the Options.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(l)</w:t>
      </w:r>
    </w:p>
    <w:p>
      <w:pPr>
        <w:pStyle w:val="TextBody"/>
        <w:bidi w:val="0"/>
        <w:jc w:val="both"/>
        <w:rPr/>
      </w:pPr>
      <w:r>
        <w:rPr>
          <w:rFonts w:ascii="Arial" w:hAnsi="Arial"/>
          <w:color w:val="000000"/>
          <w:sz w:val="20"/>
        </w:rPr>
        <w:t>"</w:t>
      </w:r>
      <w:r>
        <w:rPr>
          <w:rFonts w:ascii="Arial" w:hAnsi="Arial"/>
          <w:b/>
          <w:color w:val="000000"/>
          <w:sz w:val="20"/>
        </w:rPr>
        <w:t>Disability</w:t>
      </w:r>
      <w:r>
        <w:rPr>
          <w:rFonts w:ascii="Arial" w:hAnsi="Arial"/>
          <w:color w:val="000000"/>
          <w:sz w:val="20"/>
        </w:rPr>
        <w:t>" means (i) for French Beneficiaries, a disability of a Beneficiary corresponding to the second and third categories provided by Article L.341-4 of the French social security code, or (ii) for U.S. Beneficairies, a disability as defined under Section 409A(a)(2)(C)(i) of the Code.</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(m)</w:t>
      </w:r>
    </w:p>
    <w:p>
      <w:pPr>
        <w:pStyle w:val="TextBody"/>
        <w:bidi w:val="0"/>
        <w:jc w:val="both"/>
        <w:rPr/>
      </w:pPr>
      <w:r>
        <w:rPr>
          <w:rFonts w:ascii="Arial" w:hAnsi="Arial"/>
          <w:color w:val="000000"/>
          <w:sz w:val="20"/>
        </w:rPr>
        <w:t>"</w:t>
      </w:r>
      <w:r>
        <w:rPr>
          <w:rFonts w:ascii="Arial" w:hAnsi="Arial"/>
          <w:b/>
          <w:color w:val="000000"/>
          <w:sz w:val="20"/>
        </w:rPr>
        <w:t>Exchange Act</w:t>
      </w:r>
      <w:r>
        <w:rPr>
          <w:rFonts w:ascii="Arial" w:hAnsi="Arial"/>
          <w:color w:val="000000"/>
          <w:sz w:val="20"/>
        </w:rPr>
        <w:t>" means the United States Securities Exchange Act of 1934, as amended.</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(n)</w:t>
      </w:r>
    </w:p>
    <w:p>
      <w:pPr>
        <w:pStyle w:val="TextBody"/>
        <w:bidi w:val="0"/>
        <w:jc w:val="both"/>
        <w:rPr/>
      </w:pPr>
      <w:r>
        <w:rPr>
          <w:rFonts w:ascii="Arial" w:hAnsi="Arial"/>
          <w:color w:val="000000"/>
          <w:sz w:val="20"/>
        </w:rPr>
        <w:t>"</w:t>
      </w:r>
      <w:r>
        <w:rPr>
          <w:rFonts w:ascii="Arial" w:hAnsi="Arial"/>
          <w:b/>
          <w:color w:val="000000"/>
          <w:sz w:val="20"/>
        </w:rPr>
        <w:t>Fair Market Value</w:t>
      </w:r>
      <w:r>
        <w:rPr>
          <w:rFonts w:ascii="Arial" w:hAnsi="Arial"/>
          <w:color w:val="000000"/>
          <w:sz w:val="20"/>
        </w:rPr>
        <w:t>" means the value for one Share as determined in good faith by the Administrator, according to the following provisions, as provided in the Shareholders’ Authorization: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 the Board may determine the subscription or purchase price of a Share by reference to the closing sales price of one share on such regulated market for the day prior to the day of the decision of the Board to grant the Options. However, the purchase or subscription price shall in no case be less than ninety-five per cent (95%) of the average prices listed on Eurnoext Growth in Paris and Nasdaq Stock Market during the twenty market trading days prior to the day of the Board's decision to grant the Options, and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(ii) the subscription or purchase price shall not be less than the fair market value of the Shares on the Date of Grant (or the close of the trading day on the principal exchange upon which such securities are traded or quoted immediately preceding such Date of Grant), determined as follows (a) if the Shares are listed or quoted for trading on an exchange, the fair market value will be deemed to be the closing or last offer price, as applicable, of the Shares on the principal exchange upon which such securities are traded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or quoted on such date, provided, if such date is not a trading day, on the last market trading day prior to such date; and (b) if the Shares are not listed or quoted for trading on an exchange, the fair market value of the Shares as determined by the Board, consistent with the requirements of Section 409A of the Code, it being specified that, when an Option entitles the holder to purchase shares previously repurchased by the Company, the exercise price, notwithstanding the above provisions and in accordance with applicable law, may not be less than 80% of the average purchase price paid by the Company for all shares so previously repurchased.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price settled for the subscription or purchase of Shares shall not be modified during the period in which the Option may be exercised. However, if the Company makes one of the operations mentioned in article L. 225-181 of the French Commercial Code, it must take all necessary measures to protect Optionee's interests in the conditions provided for by article L 228-99 of the French Commercial Code. In case of issuance of securities or of securities granting the Share Capital access, as well as in case of Company's merger or demerger, the Board may decide, for a limited period of time, to suspend the exercisability of the Options.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(o)</w:t>
      </w:r>
    </w:p>
    <w:p>
      <w:pPr>
        <w:pStyle w:val="TextBody"/>
        <w:bidi w:val="0"/>
        <w:jc w:val="both"/>
        <w:rPr/>
      </w:pPr>
      <w:r>
        <w:rPr>
          <w:rFonts w:ascii="Arial" w:hAnsi="Arial"/>
          <w:color w:val="000000"/>
          <w:sz w:val="20"/>
        </w:rPr>
        <w:t>"</w:t>
      </w:r>
      <w:r>
        <w:rPr>
          <w:rFonts w:ascii="Arial" w:hAnsi="Arial"/>
          <w:b/>
          <w:color w:val="000000"/>
          <w:sz w:val="20"/>
        </w:rPr>
        <w:t>Non-Statutory Stock Option</w:t>
      </w:r>
      <w:r>
        <w:rPr>
          <w:rFonts w:ascii="Arial" w:hAnsi="Arial"/>
          <w:color w:val="000000"/>
          <w:sz w:val="20"/>
        </w:rPr>
        <w:t>" means an Option which does not qualify as an incentive stock option within the meaning of Section 422 of the Code and the regulations promulgated thereunder.</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(p)</w:t>
      </w:r>
    </w:p>
    <w:p>
      <w:pPr>
        <w:pStyle w:val="TextBody"/>
        <w:bidi w:val="0"/>
        <w:jc w:val="both"/>
        <w:rPr/>
      </w:pPr>
      <w:r>
        <w:rPr>
          <w:rFonts w:ascii="Arial" w:hAnsi="Arial"/>
          <w:color w:val="000000"/>
          <w:sz w:val="20"/>
        </w:rPr>
        <w:t>"</w:t>
      </w:r>
      <w:r>
        <w:rPr>
          <w:rFonts w:ascii="Arial" w:hAnsi="Arial"/>
          <w:b/>
          <w:color w:val="000000"/>
          <w:sz w:val="20"/>
        </w:rPr>
        <w:t>Notice of Grant</w:t>
      </w:r>
      <w:r>
        <w:rPr>
          <w:rFonts w:ascii="Arial" w:hAnsi="Arial"/>
          <w:color w:val="000000"/>
          <w:sz w:val="20"/>
        </w:rPr>
        <w:t>" means a written notice evidencing the main terms and conditions of an individual Option grant. The Notice of Grant is part of the Option Agreement.</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(q)</w:t>
      </w:r>
    </w:p>
    <w:p>
      <w:pPr>
        <w:pStyle w:val="TextBody"/>
        <w:bidi w:val="0"/>
        <w:jc w:val="both"/>
        <w:rPr/>
      </w:pPr>
      <w:r>
        <w:rPr>
          <w:rFonts w:ascii="Arial" w:hAnsi="Arial"/>
          <w:color w:val="000000"/>
          <w:sz w:val="20"/>
        </w:rPr>
        <w:t>"</w:t>
      </w:r>
      <w:r>
        <w:rPr>
          <w:rFonts w:ascii="Arial" w:hAnsi="Arial"/>
          <w:b/>
          <w:color w:val="000000"/>
          <w:sz w:val="20"/>
        </w:rPr>
        <w:t>Option</w:t>
      </w:r>
      <w:r>
        <w:rPr>
          <w:rFonts w:ascii="Arial" w:hAnsi="Arial"/>
          <w:color w:val="000000"/>
          <w:sz w:val="20"/>
        </w:rPr>
        <w:t>" means an option to purchase or subscribe for Shares granted pursuant to the Plan.</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(r)</w:t>
      </w:r>
    </w:p>
    <w:p>
      <w:pPr>
        <w:pStyle w:val="TextBody"/>
        <w:bidi w:val="0"/>
        <w:jc w:val="both"/>
        <w:rPr/>
      </w:pPr>
      <w:r>
        <w:rPr>
          <w:rFonts w:ascii="Arial" w:hAnsi="Arial"/>
          <w:color w:val="000000"/>
          <w:sz w:val="20"/>
        </w:rPr>
        <w:t>"</w:t>
      </w:r>
      <w:r>
        <w:rPr>
          <w:rFonts w:ascii="Arial" w:hAnsi="Arial"/>
          <w:b/>
          <w:color w:val="000000"/>
          <w:sz w:val="20"/>
        </w:rPr>
        <w:t>Optionee</w:t>
      </w:r>
      <w:r>
        <w:rPr>
          <w:rFonts w:ascii="Arial" w:hAnsi="Arial"/>
          <w:color w:val="000000"/>
          <w:sz w:val="20"/>
        </w:rPr>
        <w:t>" means a Beneficiary who holds at least one outstanding Option.</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(s)</w:t>
      </w:r>
    </w:p>
    <w:p>
      <w:pPr>
        <w:pStyle w:val="TextBody"/>
        <w:bidi w:val="0"/>
        <w:jc w:val="both"/>
        <w:rPr/>
      </w:pPr>
      <w:r>
        <w:rPr>
          <w:rFonts w:ascii="Arial" w:hAnsi="Arial"/>
          <w:b/>
          <w:color w:val="000000"/>
          <w:sz w:val="20"/>
        </w:rPr>
        <w:t>"Option Agreement"</w:t>
      </w:r>
      <w:r>
        <w:rPr>
          <w:color w:val="000000"/>
        </w:rPr>
        <w:t xml:space="preserve"> </w:t>
      </w:r>
      <w:r>
        <w:rPr>
          <w:rFonts w:ascii="Arial" w:hAnsi="Arial"/>
          <w:color w:val="000000"/>
          <w:sz w:val="20"/>
        </w:rPr>
        <w:t>means the notice of stock option grant and the terms and conditions of an individual Option grant, as set forth in the Exhibit and accepted by the Optionee. The Option Agreement is subject to the terms and conditions of the Plan.</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(t)</w:t>
      </w:r>
    </w:p>
    <w:p>
      <w:pPr>
        <w:pStyle w:val="TextBody"/>
        <w:bidi w:val="0"/>
        <w:jc w:val="both"/>
        <w:rPr/>
      </w:pPr>
      <w:r>
        <w:rPr>
          <w:rFonts w:ascii="Arial" w:hAnsi="Arial"/>
          <w:color w:val="000000"/>
          <w:sz w:val="20"/>
        </w:rPr>
        <w:t>"</w:t>
      </w:r>
      <w:r>
        <w:rPr>
          <w:rFonts w:ascii="Arial" w:hAnsi="Arial"/>
          <w:b/>
          <w:color w:val="000000"/>
          <w:sz w:val="20"/>
        </w:rPr>
        <w:t>Plan</w:t>
      </w:r>
      <w:r>
        <w:rPr>
          <w:rFonts w:ascii="Arial" w:hAnsi="Arial"/>
          <w:color w:val="000000"/>
          <w:sz w:val="20"/>
        </w:rPr>
        <w:t>" means the 2026 Stock Option Plan as approved by the Board on August 6, 2026.</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(u)</w:t>
      </w:r>
    </w:p>
    <w:p>
      <w:pPr>
        <w:pStyle w:val="TextBody"/>
        <w:bidi w:val="0"/>
        <w:jc w:val="both"/>
        <w:rPr/>
      </w:pPr>
      <w:r>
        <w:rPr>
          <w:rFonts w:ascii="Arial" w:hAnsi="Arial"/>
          <w:color w:val="000000"/>
          <w:sz w:val="20"/>
        </w:rPr>
        <w:t>"</w:t>
      </w:r>
      <w:r>
        <w:rPr>
          <w:rFonts w:ascii="Arial" w:hAnsi="Arial"/>
          <w:b/>
          <w:color w:val="000000"/>
          <w:sz w:val="20"/>
        </w:rPr>
        <w:t>Share</w:t>
      </w:r>
      <w:r>
        <w:rPr>
          <w:rFonts w:ascii="Arial" w:hAnsi="Arial"/>
          <w:color w:val="000000"/>
          <w:sz w:val="20"/>
        </w:rPr>
        <w:t>" means a share of common stock (</w:t>
      </w:r>
      <w:r>
        <w:rPr>
          <w:rFonts w:ascii="Arial" w:hAnsi="Arial"/>
          <w:i/>
          <w:color w:val="000000"/>
          <w:sz w:val="20"/>
        </w:rPr>
        <w:t>action ordinaire</w:t>
      </w:r>
      <w:r>
        <w:rPr>
          <w:rFonts w:ascii="Arial" w:hAnsi="Arial"/>
          <w:color w:val="000000"/>
          <w:sz w:val="20"/>
        </w:rPr>
        <w:t>) of the Company.</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(v)</w:t>
      </w:r>
    </w:p>
    <w:p>
      <w:pPr>
        <w:pStyle w:val="TextBody"/>
        <w:bidi w:val="0"/>
        <w:jc w:val="both"/>
        <w:rPr/>
      </w:pPr>
      <w:r>
        <w:rPr>
          <w:rFonts w:ascii="Arial" w:hAnsi="Arial"/>
          <w:color w:val="000000"/>
          <w:sz w:val="20"/>
        </w:rPr>
        <w:t>"</w:t>
      </w:r>
      <w:r>
        <w:rPr>
          <w:rFonts w:ascii="Arial" w:hAnsi="Arial"/>
          <w:b/>
          <w:color w:val="000000"/>
          <w:sz w:val="20"/>
        </w:rPr>
        <w:t>Shareholders’ Authorization</w:t>
      </w:r>
      <w:r>
        <w:rPr>
          <w:rFonts w:ascii="Arial" w:hAnsi="Arial"/>
          <w:color w:val="000000"/>
          <w:sz w:val="20"/>
        </w:rPr>
        <w:t>" means the authorization given by the shareholders of the Company in the combined ordinary and extraordinary general meeting held on June 25, 2026 as increased or amended from time to time by a further general meeting of the shareholders permitting the Board to grant Stock Options.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(w)</w:t>
      </w:r>
    </w:p>
    <w:p>
      <w:pPr>
        <w:pStyle w:val="TextBody"/>
        <w:bidi w:val="0"/>
        <w:jc w:val="both"/>
        <w:rPr/>
      </w:pPr>
      <w:r>
        <w:rPr>
          <w:rFonts w:ascii="Arial" w:hAnsi="Arial"/>
          <w:color w:val="000000"/>
          <w:sz w:val="20"/>
        </w:rPr>
        <w:t>"</w:t>
      </w:r>
      <w:r>
        <w:rPr>
          <w:rFonts w:ascii="Arial" w:hAnsi="Arial"/>
          <w:b/>
          <w:color w:val="000000"/>
          <w:sz w:val="20"/>
        </w:rPr>
        <w:t>Share Capital</w:t>
      </w:r>
      <w:r>
        <w:rPr>
          <w:rFonts w:ascii="Arial" w:hAnsi="Arial"/>
          <w:color w:val="000000"/>
          <w:sz w:val="20"/>
        </w:rPr>
        <w:t>" means the issued and paid up capital of the Company.</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(x)</w:t>
      </w:r>
    </w:p>
    <w:p>
      <w:pPr>
        <w:pStyle w:val="TextBody"/>
        <w:bidi w:val="0"/>
        <w:jc w:val="both"/>
        <w:rPr/>
      </w:pPr>
      <w:r>
        <w:rPr>
          <w:rFonts w:ascii="Arial" w:hAnsi="Arial"/>
          <w:color w:val="000000"/>
          <w:sz w:val="20"/>
        </w:rPr>
        <w:t>"</w:t>
      </w:r>
      <w:r>
        <w:rPr>
          <w:rFonts w:ascii="Arial" w:hAnsi="Arial"/>
          <w:b/>
          <w:color w:val="000000"/>
          <w:sz w:val="20"/>
        </w:rPr>
        <w:t>Subsidiary</w:t>
      </w:r>
      <w:r>
        <w:rPr>
          <w:rFonts w:ascii="Arial" w:hAnsi="Arial"/>
          <w:color w:val="000000"/>
          <w:sz w:val="20"/>
        </w:rPr>
        <w:t>" means a "subsidiary corporation", whether now or hereafter existing, as defined in Section 424(f) of the Code.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(x) "</w:t>
      </w:r>
      <w:r>
        <w:rPr>
          <w:rFonts w:ascii="Arial" w:hAnsi="Arial"/>
          <w:b/>
          <w:color w:val="000000"/>
          <w:sz w:val="20"/>
        </w:rPr>
        <w:t>U.S. Beneficiary</w:t>
      </w:r>
      <w:r>
        <w:rPr>
          <w:rFonts w:ascii="Arial" w:hAnsi="Arial"/>
          <w:color w:val="000000"/>
          <w:sz w:val="20"/>
        </w:rPr>
        <w:t>" means a Beneficiary of the Company or an Affiliated Company residing in the United States or otherwise subject to United States' laws, regulations or taxation.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(y) "</w:t>
      </w:r>
      <w:r>
        <w:rPr>
          <w:rFonts w:ascii="Arial" w:hAnsi="Arial"/>
          <w:b/>
          <w:color w:val="000000"/>
          <w:sz w:val="20"/>
        </w:rPr>
        <w:t>U.S. Optionee</w:t>
      </w:r>
      <w:r>
        <w:rPr>
          <w:rFonts w:ascii="Arial" w:hAnsi="Arial"/>
          <w:color w:val="000000"/>
          <w:sz w:val="20"/>
        </w:rPr>
        <w:t>" means an Optionee residing in the United States or otherwise subject to United States' laws, regulations or taxation.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3.</w:t>
      </w:r>
      <w:r>
        <w:rPr>
          <w:rFonts w:ascii="Times New Roman" w:hAnsi="Times New Roman"/>
          <w:color w:val="000000"/>
          <w:sz w:val="20"/>
        </w:rPr>
        <w:t xml:space="preserve"> </w:t>
      </w:r>
      <w:r>
        <w:rPr>
          <w:rFonts w:ascii="Arial" w:hAnsi="Arial"/>
          <w:b/>
          <w:smallCaps/>
          <w:color w:val="000000"/>
          <w:sz w:val="20"/>
          <w:u w:val="single"/>
        </w:rPr>
        <w:t>Shares Subject to the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Subject to the provisions of Section 11 of the Plan and pursuant to the Shareholders’ Authorization, the maximum aggregate number of Shares which may be optioned and issued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Times New Roman" w:hAnsi="Times New Roman"/>
          <w:sz w:val="20"/>
        </w:rPr>
      </w:pPr>
      <w:r>
        <w:rPr>
          <w:rFonts w:ascii="Arial" w:hAnsi="Arial"/>
          <w:color w:val="000000"/>
          <w:sz w:val="20"/>
        </w:rPr>
        <w:t>under the Plan is equal to 4,023,640 with a par value of EUR 0.05 each, as adjusted in order to take into account any reverse stock split or stock split transaction.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Should the Option expire or become unexercisable for any reason without having been exercised in full, the unsubscribed Shares which were subject thereto shall, unless the Plan shall have been terminated, become available again for future grant under the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4. </w:t>
      </w:r>
      <w:r>
        <w:rPr>
          <w:rFonts w:ascii="Arial" w:hAnsi="Arial"/>
          <w:b/>
          <w:smallCaps/>
          <w:color w:val="000000"/>
          <w:sz w:val="20"/>
          <w:u w:val="single"/>
        </w:rPr>
        <w:t>Administration of the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Procedure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Plan shall be administered by the Administrator.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(b) Powers of the Administrator</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Subject to the provisions of the Commercial Code, the Shareholders’ Authorization, the Plan, and the Applicable Laws, the Administrator shall have the authority, in its discretion:</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(i)</w:t>
      </w:r>
      <w:r>
        <w:rPr>
          <w:rFonts w:ascii="Times New Roman" w:hAnsi="Times New Roman"/>
          <w:color w:val="000000"/>
          <w:sz w:val="20"/>
        </w:rPr>
        <w:t xml:space="preserve"> </w:t>
      </w:r>
      <w:r>
        <w:rPr>
          <w:rFonts w:ascii="Arial" w:hAnsi="Arial"/>
          <w:color w:val="000000"/>
          <w:sz w:val="20"/>
        </w:rPr>
        <w:t>to determine the Fair Market Value of the Shares, in accordance with Section 2(n) of the Plan;</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(ii)</w:t>
      </w:r>
      <w:r>
        <w:rPr>
          <w:rFonts w:ascii="Times New Roman" w:hAnsi="Times New Roman"/>
          <w:color w:val="000000"/>
          <w:sz w:val="20"/>
        </w:rPr>
        <w:t xml:space="preserve"> </w:t>
      </w:r>
      <w:r>
        <w:rPr>
          <w:rFonts w:ascii="Arial" w:hAnsi="Arial"/>
          <w:color w:val="000000"/>
          <w:sz w:val="20"/>
        </w:rPr>
        <w:t>to determine the Beneficiaries to whom Options may be granted hereunder;</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(iii)</w:t>
      </w:r>
      <w:r>
        <w:rPr>
          <w:rFonts w:ascii="Times New Roman" w:hAnsi="Times New Roman"/>
          <w:color w:val="000000"/>
          <w:sz w:val="20"/>
        </w:rPr>
        <w:t xml:space="preserve"> </w:t>
      </w:r>
      <w:r>
        <w:rPr>
          <w:rFonts w:ascii="Arial" w:hAnsi="Arial"/>
          <w:color w:val="000000"/>
          <w:sz w:val="20"/>
        </w:rPr>
        <w:t>to determine whether and to what extent Options are granted hereunder;</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(iv)</w:t>
      </w:r>
      <w:r>
        <w:rPr>
          <w:rFonts w:ascii="Times New Roman" w:hAnsi="Times New Roman"/>
          <w:color w:val="000000"/>
          <w:sz w:val="20"/>
        </w:rPr>
        <w:t xml:space="preserve"> </w:t>
      </w:r>
      <w:r>
        <w:rPr>
          <w:rFonts w:ascii="Arial" w:hAnsi="Arial"/>
          <w:color w:val="000000"/>
          <w:sz w:val="20"/>
        </w:rPr>
        <w:t>to approve or amend forms of agreement for use under the Plan;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(v) to determine the terms and conditions of any Options granted hereunder. Such terms and conditions include, but are not limited to, the exercise price, the date or dates when Options may be exercised (which may be based on performance criteria), any vesting acceleration or waiver of forfeiture restrictions, and any restriction or limitation regarding any Option or the Shares relating thereto, based in each case on such factors as the Administrator, in its sole discretion, shall determine with the exception of the exercise price, which must be set solely based on the express terms set forth in the Plan; it being specified that the Administrator’s discretion remains subject to the rules and limitations set forth in the Plan and in the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(vi)</w:t>
      </w:r>
      <w:r>
        <w:rPr>
          <w:rFonts w:ascii="Times New Roman" w:hAnsi="Times New Roman"/>
          <w:color w:val="000000"/>
          <w:sz w:val="20"/>
        </w:rPr>
        <w:t xml:space="preserve"> </w:t>
      </w:r>
      <w:r>
        <w:rPr>
          <w:rFonts w:ascii="Arial" w:hAnsi="Arial"/>
          <w:color w:val="000000"/>
          <w:sz w:val="20"/>
        </w:rPr>
        <w:t>to construe and interpret the terms of the Plan and Options granted pursuant to the Plan;</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(vii)</w:t>
      </w:r>
      <w:r>
        <w:rPr>
          <w:rFonts w:ascii="Times New Roman" w:hAnsi="Times New Roman"/>
          <w:color w:val="000000"/>
          <w:sz w:val="20"/>
        </w:rPr>
        <w:t xml:space="preserve"> </w:t>
      </w:r>
      <w:r>
        <w:rPr>
          <w:rFonts w:ascii="Arial" w:hAnsi="Arial"/>
          <w:color w:val="000000"/>
          <w:sz w:val="20"/>
        </w:rPr>
        <w:t>to prescribe, amend and rescind rules and regulations relating to the Plan, including rules and regulations relating to sub-plans established for the purpose of qualifying for preferred tax treatment under foreign tax laws;</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(viii)</w:t>
      </w:r>
      <w:r>
        <w:rPr>
          <w:rFonts w:ascii="Times New Roman" w:hAnsi="Times New Roman"/>
          <w:color w:val="000000"/>
          <w:sz w:val="20"/>
        </w:rPr>
        <w:t xml:space="preserve"> </w:t>
      </w:r>
      <w:r>
        <w:rPr>
          <w:rFonts w:ascii="Arial" w:hAnsi="Arial"/>
          <w:color w:val="000000"/>
          <w:sz w:val="20"/>
        </w:rPr>
        <w:t>to modify or amend each Option (subject to the provisions of</w:t>
      </w:r>
      <w:r>
        <w:rPr>
          <w:rFonts w:ascii="Times New Roman" w:hAnsi="Times New Roman"/>
          <w:color w:val="000000"/>
          <w:sz w:val="20"/>
        </w:rPr>
        <w:t xml:space="preserve"> </w:t>
      </w:r>
      <w:r>
        <w:rPr>
          <w:rFonts w:ascii="Arial" w:hAnsi="Arial"/>
          <w:color w:val="000000"/>
          <w:sz w:val="20"/>
        </w:rPr>
        <w:t>Section 13(c) of the Plan and the terms of Section 409A of the Code), including the discretionary authority to extend the post-termination exercise period of Options after the termination of the Beneficiariy’s employment agreement or the end of the Beneficiary’s term of office, longer than is otherwise provided for in the Plan;</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4/22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Times New Roman" w:hAnsi="Times New Roman"/>
          <w:sz w:val="20"/>
        </w:rPr>
      </w:pPr>
      <w:r>
        <w:rPr>
          <w:rFonts w:ascii="Arial" w:hAnsi="Arial"/>
          <w:i/>
          <w:color w:val="000000"/>
          <w:sz w:val="20"/>
        </w:rPr>
        <w:t>(ix)</w:t>
      </w:r>
      <w:r>
        <w:rPr>
          <w:rFonts w:ascii="Times New Roman" w:hAnsi="Times New Roman"/>
          <w:color w:val="000000"/>
          <w:sz w:val="20"/>
        </w:rPr>
        <w:t xml:space="preserve"> </w:t>
      </w:r>
      <w:r>
        <w:rPr>
          <w:rFonts w:ascii="Arial" w:hAnsi="Arial"/>
          <w:color w:val="000000"/>
          <w:sz w:val="20"/>
        </w:rPr>
        <w:t>to authorize any person to execute on behalf of the Company any instrument required to effect the grant of an Option previously granted by the Administrator;</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(x)</w:t>
      </w:r>
      <w:r>
        <w:rPr>
          <w:rFonts w:ascii="Times New Roman" w:hAnsi="Times New Roman"/>
          <w:color w:val="000000"/>
          <w:sz w:val="20"/>
        </w:rPr>
        <w:t xml:space="preserve"> </w:t>
      </w:r>
      <w:r>
        <w:rPr>
          <w:rFonts w:ascii="Arial" w:hAnsi="Arial"/>
          <w:color w:val="000000"/>
          <w:sz w:val="20"/>
        </w:rPr>
        <w:t>to determine the rights and restrictions applicable to Options;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(xi)</w:t>
      </w:r>
      <w:r>
        <w:rPr>
          <w:rFonts w:ascii="Times New Roman" w:hAnsi="Times New Roman"/>
          <w:color w:val="000000"/>
          <w:sz w:val="20"/>
        </w:rPr>
        <w:t xml:space="preserve"> </w:t>
      </w:r>
      <w:r>
        <w:rPr>
          <w:rFonts w:ascii="Arial" w:hAnsi="Arial"/>
          <w:color w:val="000000"/>
          <w:sz w:val="20"/>
        </w:rPr>
        <w:t>to make all other determinations deemed necessary or appropriate for administering the Plan;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12" w:name="ole_link3"/>
      <w:bookmarkEnd w:id="12"/>
      <w:r>
        <w:rPr>
          <w:rFonts w:ascii="Arial" w:hAnsi="Arial"/>
          <w:i/>
          <w:color w:val="000000"/>
          <w:sz w:val="20"/>
        </w:rPr>
        <w:t>(xii)</w:t>
      </w:r>
      <w:r>
        <w:rPr>
          <w:rFonts w:ascii="Times New Roman" w:hAnsi="Times New Roman"/>
          <w:color w:val="000000"/>
          <w:sz w:val="20"/>
        </w:rPr>
        <w:t xml:space="preserve"> </w:t>
      </w:r>
      <w:r>
        <w:rPr>
          <w:rFonts w:ascii="Arial" w:hAnsi="Arial"/>
          <w:color w:val="000000"/>
          <w:sz w:val="20"/>
        </w:rPr>
        <w:t xml:space="preserve">to enforce any applicable </w:t>
      </w:r>
      <w:bookmarkStart w:id="13" w:name="ole_link4"/>
      <w:bookmarkEnd w:id="13"/>
      <w:r>
        <w:rPr>
          <w:rFonts w:ascii="Arial" w:hAnsi="Arial"/>
          <w:color w:val="000000"/>
          <w:sz w:val="20"/>
        </w:rPr>
        <w:t>Clawback Policy, including, without limitation, and within the limits set forth in any such Clawback Policy, to recoup Options granted under the Plan, to recover any Shares issued to an Optionee as a result of the exercise of Options granted under the Plan, and/or to recover any proceeds received by an Optionee from the sale of Shares issued to an Optionee as a result of the exercise of Options granted under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 Effects of Administrator's Decisions</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Administrator's decisions, determinations and interpretations shall be final and binding on all current and former Optionees.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5. </w:t>
      </w:r>
      <w:r>
        <w:rPr>
          <w:rFonts w:ascii="Arial" w:hAnsi="Arial"/>
          <w:b/>
          <w:smallCaps/>
          <w:color w:val="000000"/>
          <w:sz w:val="20"/>
          <w:u w:val="single"/>
        </w:rPr>
        <w:t>Limitations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(a) </w:t>
      </w:r>
      <w:r>
        <w:rPr>
          <w:rFonts w:ascii="Arial" w:hAnsi="Arial"/>
          <w:color w:val="000000"/>
          <w:sz w:val="20"/>
        </w:rPr>
        <w:t xml:space="preserve">The Options are governed by articles L. 225-177 </w:t>
      </w:r>
      <w:r>
        <w:rPr>
          <w:rFonts w:ascii="Arial" w:hAnsi="Arial"/>
          <w:i/>
          <w:color w:val="000000"/>
          <w:sz w:val="20"/>
        </w:rPr>
        <w:t>et seq</w:t>
      </w:r>
      <w:r>
        <w:rPr>
          <w:rFonts w:ascii="Arial" w:hAnsi="Arial"/>
          <w:color w:val="000000"/>
          <w:sz w:val="20"/>
        </w:rPr>
        <w:t>. of the French Commercial Code. They are not part of the employment agreement, employment or of the term of office which has allowed the Optionee to be granted the Options. Neither do they constitute an element of the Optionee’s remuneration.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Neither the Plan nor any Option shall confer upon an Optionee any right with respect to continuing the Optionee's employment or his term of office with the Company or any Affiliated Company, nor shall they interfere in any way with the Optionee's right or the Company's or Affiliated Company's right, as the case may be, to terminate such employment or such term of office at any time, with or without cause.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(b)</w:t>
      </w:r>
      <w:r>
        <w:rPr>
          <w:rFonts w:ascii="Times New Roman" w:hAnsi="Times New Roman"/>
          <w:color w:val="000000"/>
          <w:sz w:val="20"/>
        </w:rPr>
        <w:t xml:space="preserve"> </w:t>
      </w:r>
      <w:r>
        <w:rPr>
          <w:rFonts w:ascii="Arial" w:hAnsi="Arial"/>
          <w:color w:val="000000"/>
          <w:sz w:val="20"/>
        </w:rPr>
        <w:t>Other than as expressly provided hereunder, no member of the Board or of the supervisory board of the Company (in the event of change of management formula of the Company) or of an equivalent management body of an Affiliated Company shall be as such</w:t>
      </w:r>
      <w:r>
        <w:rPr>
          <w:rFonts w:ascii="Times New Roman" w:hAnsi="Times New Roman"/>
          <w:color w:val="000000"/>
          <w:sz w:val="20"/>
        </w:rPr>
        <w:t xml:space="preserve"> </w:t>
      </w:r>
      <w:r>
        <w:rPr>
          <w:rFonts w:ascii="Arial" w:hAnsi="Arial"/>
          <w:color w:val="000000"/>
          <w:sz w:val="20"/>
        </w:rPr>
        <w:t>eligible to receive Options under the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6. </w:t>
      </w:r>
      <w:r>
        <w:rPr>
          <w:rFonts w:ascii="Arial" w:hAnsi="Arial"/>
          <w:b/>
          <w:smallCaps/>
          <w:color w:val="000000"/>
          <w:sz w:val="20"/>
          <w:u w:val="single"/>
        </w:rPr>
        <w:t>Term of plan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Plan shall be effective and Options may be granted as of August 6, 2026. The Plan has been adopted by the Board on August 6, 2026. Unless a new shareholder authorization supersedes the Shareholders’ Authorization, the Options may be granted hereunder until, and including, June 25, 2027. It shall continue in effect until the date of termination of the last Option in force, unless terminated earlier under Section 13 of the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7. </w:t>
      </w:r>
      <w:r>
        <w:rPr>
          <w:rFonts w:ascii="Arial" w:hAnsi="Arial"/>
          <w:b/>
          <w:smallCaps/>
          <w:color w:val="000000"/>
          <w:sz w:val="20"/>
          <w:u w:val="single"/>
        </w:rPr>
        <w:t>Term of Options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term of each Option shall be stated in the Notice of Grant as ten (10) years from the Date of Grant, in accordance with the Shareholders’ Authorization or, in case of death or Disability of the Optionee during such 10-year period, six (6) months from the death or Disability of the Optionee in accordance with French law.</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5/22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8. </w:t>
      </w:r>
      <w:r>
        <w:rPr>
          <w:rFonts w:ascii="Arial" w:hAnsi="Arial"/>
          <w:b/>
          <w:smallCaps/>
          <w:color w:val="000000"/>
          <w:sz w:val="20"/>
          <w:u w:val="single"/>
        </w:rPr>
        <w:t>Options Exercise Price and Consideration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Subscription or Purchase Price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per Share subscription or purchase price for the Shares to be issued or sold pursuant to exercise of an Option shall be determined by the Administrator on the basis of the Fair Market Value, provided that the per Share subscription or purchase price shall be no less than 100% of the Fair Market Value per Share on the Date of Grant as defined in Section 2(n)(ii).</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 Exercise Dates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 with the Company or an Affiliated Company and/or satisfaction of the performance conditions, if applicable.</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 Form of Consideration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consideration to be paid for the Shares to be issued or purchased upon exercise of Options, including the method of payment, shall be determined by the Administrator. Such consideration</w:t>
      </w:r>
      <w:r>
        <w:rPr>
          <w:rFonts w:ascii="Times New Roman" w:hAnsi="Times New Roman"/>
          <w:color w:val="000000"/>
          <w:sz w:val="20"/>
        </w:rPr>
        <w:t xml:space="preserve"> </w:t>
      </w:r>
      <w:r>
        <w:rPr>
          <w:rFonts w:ascii="Arial" w:hAnsi="Arial"/>
          <w:color w:val="000000"/>
          <w:sz w:val="20"/>
        </w:rPr>
        <w:t>shall consist entirely of an amount in Euros corresponding to the exercise price which shall be paid by wire transfer.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9. </w:t>
      </w:r>
      <w:r>
        <w:rPr>
          <w:rFonts w:ascii="Arial" w:hAnsi="Arial"/>
          <w:b/>
          <w:smallCaps/>
          <w:color w:val="000000"/>
          <w:sz w:val="20"/>
          <w:u w:val="single"/>
        </w:rPr>
        <w:t>Exercise of Options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Procedure for Exercise; Shareholders’ Rights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Option granted hereunder shall be exercisable according to the terms of the Plan and at such dates and under such conditions as determined by the Administrator and set forth in the Option Agreement.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 Option may not be exercised for a fraction of a Share.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 Option shall be deemed exercised when the Company or a third party designated by the Company receives: (i) notice of exercise (in accordance with the provisions of</w:t>
      </w:r>
      <w:r>
        <w:rPr>
          <w:rFonts w:ascii="Times New Roman" w:hAnsi="Times New Roman"/>
          <w:color w:val="000000"/>
          <w:sz w:val="20"/>
        </w:rPr>
        <w:t xml:space="preserve"> </w:t>
      </w:r>
      <w:r>
        <w:rPr>
          <w:rFonts w:ascii="Arial" w:hAnsi="Arial"/>
          <w:color w:val="000000"/>
          <w:sz w:val="20"/>
        </w:rPr>
        <w:t>the Option Agreement) together with a share subscription or purchase form (</w:t>
      </w:r>
      <w:r>
        <w:rPr>
          <w:rFonts w:ascii="Arial" w:hAnsi="Arial"/>
          <w:i/>
          <w:color w:val="000000"/>
          <w:sz w:val="20"/>
        </w:rPr>
        <w:t>bulletin de souscription ou d'achat</w:t>
      </w:r>
      <w:r>
        <w:rPr>
          <w:rFonts w:ascii="Arial" w:hAnsi="Arial"/>
          <w:color w:val="000000"/>
          <w:sz w:val="20"/>
        </w:rPr>
        <w:t>) duly executed by the person entitled to exercise the Option, and (ii) full payment for the Shares with respect to which the Option is exercised. Full payment may consist of any consideration and method of payment authorized by the Administrator and permitted by the Option Agreement and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Upon exercise of Options, the Shares issued or sold to the Optionee shall be assimilated with all other Shares of the Company of the same class and shall be entitled to dividends once the Shares are issued for the fiscal year during which the Option is exercised.</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In the event that a Beneficiary infringes one of the above-mentioned commitments, such Beneficiary shall be liable for any consequences resulting from such infringement for the Company and undertakes to indemnify the Company in respect of all amounts payable by the Company in connection with such infringement.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granting of Options in any manner shall result in a decrease in the number of Shares which thereafter may be available for purposes of the Plan, by the number of Shares as to which the Option may be exercised.</w:t>
      </w:r>
    </w:p>
    <w:p>
      <w:pPr>
        <w:pStyle w:val="TextBody"/>
        <w:bidi w:val="0"/>
        <w:jc w:val="center"/>
        <w:rPr>
          <w:rFonts w:ascii="Arial" w:hAnsi="Arial"/>
          <w:color w:val="000000"/>
          <w:sz w:val="20"/>
        </w:rPr>
      </w:pPr>
      <w:r>
        <w:rPr>
          <w:rFonts w:ascii="Arial" w:hAnsi="Arial"/>
          <w:color w:val="000000"/>
          <w:sz w:val="20"/>
        </w:rPr>
        <w:t>6/22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 Termination of the Optionee's Continuous Status as Beneficiary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Upon termination of an Optionee's Continuous Status as a Beneficiary, other than upon the Optionee's death or Disability, the Optionee may exercise his or her Options, but only within such period of time as is specified in the Notice of Grant, and only for the part of the Options that the Optionee was entitled to exercise at the date of termination (but in no event later than the expiration of the term of such Options as set forth in the Notice of Grant). Unless a longer period is specified in the Notice of Grant or otherwise resolved by the Board, an Option shall remain exercisable for three (3) months</w:t>
      </w:r>
      <w:r>
        <w:rPr>
          <w:rFonts w:ascii="Times New Roman" w:hAnsi="Times New Roman"/>
          <w:color w:val="000000"/>
          <w:sz w:val="20"/>
        </w:rPr>
        <w:t xml:space="preserve"> </w:t>
      </w:r>
      <w:r>
        <w:rPr>
          <w:rFonts w:ascii="Arial" w:hAnsi="Arial"/>
          <w:color w:val="000000"/>
          <w:sz w:val="20"/>
        </w:rPr>
        <w:t>following the Optionee's termination of Continuous Status as a Beneficiary. If, at the date of termination, the Optionee is not entitled to exercise all his or her Options, the Shares covered by the unexercisable portion of Options shall revert to the Plan. If, after termination, the Optionee does not exercise all of his or her Options within the period of time specified herein, the Options shall terminate, and the Shares covered by such Options shall revert to the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an exception to the above provisions, in the event of voluntary retirement of the Beneficiary, the Board may decide that the Beneficiary will continue to benefit from the Options (vested or not at the date of his departure) which may be exercised according to the vesting schedule decided by the Administrator during the grant of the corresponding Options until their expiration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 Disability of Optionee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that an Optionee's Continuous Status as a Beneficiary terminates as a result of the Optionee's Disability, unless otherwise resolved by the Board, the Optionee may exercise his or her Options at any time within six (6) months from the date of such termination, but only to the extent these Options are exercisable at the time of termination (but in no event later than the expiration of the term of such Options as set forth in the Notice of Grant). If, at the date of termination, the Optionee is not entitled to exercise all of his or her Options, the Shares covered by the unexercised portion of Options shall revert to the Plan. If, after termination, the Optionee does not exercise all of his or her Options within the period of time specified herein, the Options shall terminate, and the Shares covered by such Options shall revert to the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(d) Death of Optionee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the death of an Optionee during the term of the Options, unless otherwise resolved by the Board, the Options may be exercised at any time within six (6) months following the date of death, by the Optionee's estate or by a person who acquired the right to exercise the Option by bequest or inheritance, but only to the extent these Options are exercisable at the time of death. If, at the time of death, the Optionee was not entitled to exercise all of his or her Options, the Shares covered by the unexercised portion of Options shall immediately revert to the Plan. If, after death, the Optionee's estate or a person who acquired the right to exercise the Options by bequest or inheritance does not exercise the Options within the period of time specified herein, the Options shall terminate, and the Shares covered by such Options shall revert to the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10. </w:t>
      </w:r>
      <w:r>
        <w:rPr>
          <w:rFonts w:ascii="Arial" w:hAnsi="Arial"/>
          <w:b/>
          <w:smallCaps/>
          <w:color w:val="000000"/>
          <w:sz w:val="20"/>
          <w:u w:val="single"/>
        </w:rPr>
        <w:t>Non-Transferability of Options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 Option may not be sold, pledged, assigned, mortgaged, transferred or disposed of in any manner other than by will or by laws of descent or distribution and may be exercised, during the lifetime of the Optionee, only by the Optionee.</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7/22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Times New Roman" w:hAnsi="Times New Roman"/>
          <w:sz w:val="20"/>
        </w:rPr>
      </w:pPr>
      <w:r>
        <w:rPr>
          <w:rFonts w:ascii="Arial" w:hAnsi="Arial"/>
          <w:b/>
          <w:color w:val="000000"/>
          <w:sz w:val="20"/>
        </w:rPr>
        <w:t xml:space="preserve">11. </w:t>
      </w:r>
      <w:r>
        <w:rPr>
          <w:rFonts w:ascii="Arial" w:hAnsi="Arial"/>
          <w:b/>
          <w:smallCaps/>
          <w:color w:val="000000"/>
          <w:sz w:val="20"/>
          <w:u w:val="single"/>
        </w:rPr>
        <w:t>Adjustments Upon Changes in Capitalization, Dissolution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Changes in capitalization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the carrying out by the Company of any of the financial operations pursuant to article L. 225-181 of the French Commercial Code as follows: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amortization or reduction of the share capital,</w:t>
      </w:r>
    </w:p>
    <w:p>
      <w:pPr>
        <w:pStyle w:val="TextBody"/>
        <w:bidi w:val="0"/>
        <w:jc w:val="both"/>
        <w:rPr>
          <w:rFonts w:ascii="Arial" w:hAnsi="Arial"/>
          <w:color w:val="000000"/>
          <w:sz w:val="20"/>
        </w:rPr>
      </w:pPr>
      <w:r>
        <w:rPr>
          <w:rFonts w:ascii="Arial" w:hAnsi="Arial"/>
          <w:color w:val="000000"/>
          <w:sz w:val="20"/>
        </w:rPr>
        <w:t>- amendment of the allocation of profits,</w:t>
      </w:r>
    </w:p>
    <w:p>
      <w:pPr>
        <w:pStyle w:val="TextBody"/>
        <w:bidi w:val="0"/>
        <w:jc w:val="both"/>
        <w:rPr>
          <w:rFonts w:ascii="Arial" w:hAnsi="Arial"/>
          <w:color w:val="000000"/>
          <w:sz w:val="20"/>
        </w:rPr>
      </w:pPr>
      <w:r>
        <w:rPr>
          <w:rFonts w:ascii="Arial" w:hAnsi="Arial"/>
          <w:color w:val="000000"/>
          <w:sz w:val="20"/>
        </w:rPr>
        <w:t>- distribution of free shares,</w:t>
      </w:r>
    </w:p>
    <w:p>
      <w:pPr>
        <w:pStyle w:val="TextBody"/>
        <w:bidi w:val="0"/>
        <w:jc w:val="both"/>
        <w:rPr>
          <w:rFonts w:ascii="Arial" w:hAnsi="Arial"/>
          <w:color w:val="000000"/>
          <w:sz w:val="20"/>
        </w:rPr>
      </w:pPr>
      <w:r>
        <w:rPr>
          <w:rFonts w:ascii="Arial" w:hAnsi="Arial"/>
          <w:color w:val="000000"/>
          <w:sz w:val="20"/>
        </w:rPr>
        <w:t>- capitalization of reserves, profits or issuance premiums,</w:t>
      </w:r>
    </w:p>
    <w:p>
      <w:pPr>
        <w:pStyle w:val="TextBody"/>
        <w:bidi w:val="0"/>
        <w:jc w:val="both"/>
        <w:rPr>
          <w:rFonts w:ascii="Arial" w:hAnsi="Arial"/>
          <w:color w:val="000000"/>
          <w:sz w:val="20"/>
        </w:rPr>
      </w:pPr>
      <w:r>
        <w:rPr>
          <w:rFonts w:ascii="Arial" w:hAnsi="Arial"/>
          <w:color w:val="000000"/>
          <w:sz w:val="20"/>
        </w:rPr>
        <w:t>- the issuance of shares or securities giving right to shares to be subscribed for in cash or by set-off of existing indebtedness offered exclusively to the shareholders;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shall take the required measures to protect the interests of the Optionees in the conditions set forth in article L. 228-99 of the French Commercial Code.</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 Dissolution or Liquidation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the proposed dissolution or liquidation of the Company, to the extent that an Option has not been previously exercised, it will terminate immediately prior to the consummation of such proposed action. The Administrator may, in the exercise of its sole discretion in such instances, declare that any Option shall terminate as of a date determined by the Administrator and give each Optionee the right to exercise his or her Options as to Shares for which the Options would not otherwise be exercisable.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 Merger or asset sale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decided by the Board, being specified that such decision shall occur no later than immediately prior to the completion of the relevant Liquidity Event (as defined below):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in the event of a merger of the Company into another corporation or of the sale by one or several shareholders, acting alone or in concert, of the Company to one or several third parties of a number of Shares resulting in a transfer of more than fifty per cent (50%) of the Shares of the Company to said third parties (a “Liquidity Event”), an Optionee’s right to exercise the Options will be accelerated so that such Optionee may exercise all of them with effect immediately prior to the completion of the relevant Liquidity Event;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Options that may be exercised shall have to be exercised no later than immediately prior to the completion of the relevant Liquidity Event, it being specified that the Board shall inform the Optionee of any proposed Liquidity Event at least 15 days prior to the completion thereof; and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any Options not exercised for any reason on or prior to the date of completion of a Liquidity Event will automatically lapse.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12. </w:t>
      </w:r>
      <w:r>
        <w:rPr>
          <w:rFonts w:ascii="Arial" w:hAnsi="Arial"/>
          <w:b/>
          <w:smallCaps/>
          <w:color w:val="000000"/>
          <w:sz w:val="20"/>
          <w:u w:val="single"/>
        </w:rPr>
        <w:t>Date of Grant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12.1. The Date of Grant of an Option shall be, for all purposes, the date on which the Administrator decides to grant such Option. A Notice of Grant shall be provided to each Optionee within a reasonable time after the Date of Grant.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12.2. In the event of any tax liability arising on account of the grant of the Options, the liability to pay such taxes shall be that of the Beneficiary alone.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8/22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The Beneficiary shall enter into such agreements of indemnity and execute any and all documents as the Company may specify for this purpose, if so required at the Date of Grant and at any other time at the discretion of the Company, on such terms and conditions as the Company may think fit, for recovery of the tax due, from the Beneficiary.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13. </w:t>
      </w:r>
      <w:r>
        <w:rPr>
          <w:rFonts w:ascii="Arial" w:hAnsi="Arial"/>
          <w:b/>
          <w:smallCaps/>
          <w:color w:val="000000"/>
          <w:sz w:val="20"/>
          <w:u w:val="single"/>
        </w:rPr>
        <w:t>Amendment and Termination of the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Amendment and Termination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Administrator may at any time amend, alter, suspend or terminate the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 Shareholders’ approval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shall obtain shareholders’ approval of any Plan amendment to the extent necessary and desirable to comply with Applicable Laws (including the requirements of any exchange or quotation system on which Shares may then be listed or quoted). Such shareholders’ approval, if required, shall be obtained in such a manner and to such a degree as is required by the applicable law, rule or regulation.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 Effects of amendment or termination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Subject to Section 16, no amendment, alteration, suspension or termination of the Plan shall impair the rights of any Optionee, unless mutually agreed otherwise between the Optionee and the Administrator, which agreement must be in writing and executed by the Optionee and the Company.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14. </w:t>
      </w:r>
      <w:r>
        <w:rPr>
          <w:rFonts w:ascii="Arial" w:hAnsi="Arial"/>
          <w:b/>
          <w:smallCaps/>
          <w:color w:val="000000"/>
          <w:sz w:val="20"/>
          <w:u w:val="single"/>
        </w:rPr>
        <w:t>Conditions Upon Issuance of Shares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 Legal Compliance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Shares held by a Beneficiary shall not be sold or issued pursuant to the exercise of Options unless the exercise of such Options, and the issuance or sale and delivery of such Shares, shall comply with all relevant provisions of law including, without limitation, the Commercial Code, the U.S. Securities Act of 1933, as amended, the Exchange Act, the rules and regulations promulgated thereunder, Applicable Laws and the requirements of any stock exchange or quotation system upon which the Shares may then be listed or quoted.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 Investment Representations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a condition to the exercise of an Option by a U.S. Beneficiary, the Company may require the person exercising such Option to represent and warrant at the time of any such exercise that the Shares are being subscribed or purchased only for investment and without any present intention to sell or distribute such Shares if, in the opinion of counsel for the Company, such a representation is required.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15. </w:t>
      </w:r>
      <w:r>
        <w:rPr>
          <w:rFonts w:ascii="Arial" w:hAnsi="Arial"/>
          <w:b/>
          <w:smallCaps/>
          <w:color w:val="000000"/>
          <w:sz w:val="20"/>
          <w:u w:val="single"/>
        </w:rPr>
        <w:t>Liability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15.1. The inability of the Company to obtain authority from any regulatory body having jurisdiction, which authority is deemed by any counsel to the Company to be necessary to the lawful issuance or sale of any Shares hereunder, shall relieve the Company of any liability in respect of the failure to issue or sell such Shares as to which such requisite authority shall not have been obtained.</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9/22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15.2. The Company and its Affiliated Companies may not be held responsible in any way if the Beneficiary for any reason not attributable to the Company or its Affiliated Companies was not able to exercise the Options or acquire the Shares.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16. </w:t>
      </w:r>
      <w:r>
        <w:rPr>
          <w:rFonts w:ascii="Arial" w:hAnsi="Arial"/>
          <w:b/>
          <w:smallCaps/>
          <w:color w:val="000000"/>
          <w:sz w:val="20"/>
          <w:u w:val="single"/>
        </w:rPr>
        <w:t>Clawback</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accordance with the Company’s Clawback Policy, and if such policy applies to an Optionee, such Optionee’s Options (if any), any Shares issued to such Optionee as a result of the exercise of Options granted under the Plan and any proceeds received by such Optionee from the sale of Shares issued to such Optionee as a result of the exercise of Options granted under the Plan shall, in each case, be subject to the terms and conditions of such Clawback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17. </w:t>
      </w:r>
      <w:r>
        <w:rPr>
          <w:rFonts w:ascii="Arial" w:hAnsi="Arial"/>
          <w:b/>
          <w:smallCaps/>
          <w:color w:val="000000"/>
          <w:sz w:val="20"/>
          <w:u w:val="single"/>
        </w:rPr>
        <w:t>Law, Jurisdiction</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Plan shall be governed by and construed in accordance with the laws of France.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relevant court of the registered office of the Company shall be exclusively competent to determine any claim or dispute arising in connection herewith.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grant of Options under the Plan shall entitle the Company to require the Beneficiary to comply with such requirements of law and regulation as may be necessary in the Options of the Company from time to time.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 * *</w:t>
      </w:r>
    </w:p>
    <w:p>
      <w:pPr>
        <w:pStyle w:val="TextBody"/>
        <w:bidi w:val="0"/>
        <w:jc w:val="center"/>
        <w:rPr>
          <w:rFonts w:ascii="Arial" w:hAnsi="Arial"/>
          <w:color w:val="000000"/>
          <w:sz w:val="20"/>
        </w:rPr>
      </w:pPr>
      <w:r>
        <w:rPr>
          <w:rFonts w:ascii="Arial" w:hAnsi="Arial"/>
          <w:color w:val="000000"/>
          <w:sz w:val="20"/>
        </w:rPr>
        <w:t>10/22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u w:val="single"/>
        </w:rPr>
      </w:pPr>
      <w:r>
        <w:rPr>
          <w:rFonts w:ascii="Arial" w:hAnsi="Arial"/>
          <w:b/>
          <w:color w:val="000000"/>
          <w:sz w:val="20"/>
          <w:u w:val="single"/>
        </w:rPr>
        <w:t>Exhibit</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CELLECTIS</w:t>
      </w:r>
    </w:p>
    <w:p>
      <w:pPr>
        <w:pStyle w:val="TextBody"/>
        <w:bidi w:val="0"/>
        <w:jc w:val="center"/>
        <w:rPr>
          <w:rFonts w:ascii="Arial" w:hAnsi="Arial"/>
          <w:b/>
          <w:color w:val="000000"/>
          <w:sz w:val="20"/>
        </w:rPr>
      </w:pPr>
      <w:r>
        <w:rPr>
          <w:rFonts w:ascii="Arial" w:hAnsi="Arial"/>
          <w:b/>
          <w:color w:val="000000"/>
          <w:sz w:val="20"/>
        </w:rPr>
        <w:t>STOCK OPTION GRANT AGREEMENT</w:t>
      </w:r>
    </w:p>
    <w:p>
      <w:pPr>
        <w:pStyle w:val="TextBody"/>
        <w:bidi w:val="0"/>
        <w:jc w:val="center"/>
        <w:rPr>
          <w:rFonts w:ascii="Arial" w:hAnsi="Arial"/>
          <w:b/>
          <w:color w:val="000000"/>
          <w:sz w:val="20"/>
        </w:rPr>
      </w:pPr>
      <w:r>
        <w:rPr>
          <w:rFonts w:ascii="Arial" w:hAnsi="Arial"/>
          <w:b/>
          <w:color w:val="000000"/>
          <w:sz w:val="20"/>
        </w:rPr>
        <w:t>Part I</w:t>
      </w:r>
    </w:p>
    <w:p>
      <w:pPr>
        <w:pStyle w:val="TextBody"/>
        <w:bidi w:val="0"/>
        <w:jc w:val="center"/>
        <w:rPr>
          <w:rFonts w:ascii="Arial" w:hAnsi="Arial"/>
          <w:b/>
          <w:color w:val="000000"/>
          <w:sz w:val="20"/>
        </w:rPr>
      </w:pPr>
      <w:r>
        <w:rPr>
          <w:rFonts w:ascii="Arial" w:hAnsi="Arial"/>
          <w:b/>
          <w:color w:val="000000"/>
          <w:sz w:val="20"/>
        </w:rPr>
        <w:t>NOTICE OF STOCK OPTION GRANT</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Optionee's Name: ________________________________</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Optionee’s Address: ________________________________</w:t>
      </w:r>
    </w:p>
    <w:p>
      <w:pPr>
        <w:pStyle w:val="TextBody"/>
        <w:bidi w:val="0"/>
        <w:jc w:val="both"/>
        <w:rPr>
          <w:rFonts w:ascii="Arial" w:hAnsi="Arial"/>
          <w:color w:val="000000"/>
          <w:sz w:val="20"/>
        </w:rPr>
      </w:pPr>
      <w:r>
        <w:rPr>
          <w:rFonts w:ascii="Arial" w:hAnsi="Arial"/>
          <w:color w:val="000000"/>
          <w:sz w:val="20"/>
        </w:rPr>
        <w:t>________________________________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You have been granted Options, each giving the right to subscribe for one ordinary Share of the Company, subject to the terms and conditions of the 2026 Stock Option Plan (the "Plan") and this Stock Option Grant Agreement (this “Option Agreement”). Options are governed by articles L. 225-177 and following of the French Commercial Code. They are not part of the Optionee’s employment agreement, employment or the Optionee’s term of office which has allowed the Optionee to be granted the Options. Neither do they constitute an element of the Optionee’s remuneration. Unless otherwise defined herein, the definitions defined in the Plan shall have the same defined meanings in this Option Agreement.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Reference number of Grant</w:t>
      </w:r>
      <w:r>
        <w:rPr>
          <w:rFonts w:ascii="Arial" w:hAnsi="Arial"/>
          <w:color w:val="000000"/>
          <w:sz w:val="13"/>
        </w:rPr>
        <w:t>11)</w:t>
      </w:r>
      <w:r>
        <w:rPr>
          <w:rFonts w:ascii="Arial" w:hAnsi="Arial"/>
          <w:color w:val="000000"/>
          <w:sz w:val="20"/>
        </w:rPr>
        <w:t>: _________________</w:t>
      </w:r>
    </w:p>
    <w:p>
      <w:pPr>
        <w:pStyle w:val="TextBody"/>
        <w:bidi w:val="0"/>
        <w:jc w:val="both"/>
        <w:rPr>
          <w:rFonts w:ascii="Times New Roman" w:hAnsi="Times New Roman"/>
          <w:sz w:val="20"/>
        </w:rPr>
      </w:pPr>
      <w:r>
        <w:rPr>
          <w:rFonts w:ascii="Arial" w:hAnsi="Arial"/>
          <w:color w:val="000000"/>
          <w:sz w:val="20"/>
        </w:rPr>
        <w:t>Date of Grant</w:t>
      </w:r>
      <w:r>
        <w:rPr>
          <w:rFonts w:ascii="Arial" w:hAnsi="Arial"/>
          <w:color w:val="000000"/>
          <w:sz w:val="13"/>
        </w:rPr>
        <w:t>22)</w:t>
      </w:r>
      <w:r>
        <w:rPr>
          <w:rFonts w:ascii="Times New Roman" w:hAnsi="Times New Roman"/>
          <w:color w:val="000000"/>
          <w:sz w:val="20"/>
        </w:rPr>
        <w:t xml:space="preserve"> </w:t>
      </w:r>
      <w:r>
        <w:rPr>
          <w:rFonts w:ascii="Arial" w:hAnsi="Arial"/>
          <w:color w:val="000000"/>
          <w:sz w:val="20"/>
        </w:rPr>
        <w:t>: _________________</w:t>
      </w:r>
    </w:p>
    <w:p>
      <w:pPr>
        <w:pStyle w:val="TextBody"/>
        <w:bidi w:val="0"/>
        <w:jc w:val="both"/>
        <w:rPr>
          <w:rFonts w:ascii="Times New Roman" w:hAnsi="Times New Roman"/>
          <w:sz w:val="20"/>
        </w:rPr>
      </w:pPr>
      <w:r>
        <w:rPr>
          <w:rFonts w:ascii="Arial" w:hAnsi="Arial"/>
          <w:color w:val="000000"/>
          <w:sz w:val="20"/>
        </w:rPr>
        <w:t>Vesting Commencement Date</w:t>
      </w:r>
      <w:r>
        <w:rPr>
          <w:rFonts w:ascii="Arial" w:hAnsi="Arial"/>
          <w:color w:val="000000"/>
          <w:sz w:val="13"/>
        </w:rPr>
        <w:t>33)</w:t>
      </w:r>
      <w:r>
        <w:rPr>
          <w:rFonts w:ascii="Times New Roman" w:hAnsi="Times New Roman"/>
          <w:color w:val="000000"/>
          <w:sz w:val="20"/>
        </w:rPr>
        <w:t xml:space="preserve"> </w:t>
      </w:r>
      <w:r>
        <w:rPr>
          <w:rFonts w:ascii="Arial" w:hAnsi="Arial"/>
          <w:color w:val="000000"/>
          <w:sz w:val="20"/>
        </w:rPr>
        <w:t>: _________________</w:t>
      </w:r>
    </w:p>
    <w:p>
      <w:pPr>
        <w:pStyle w:val="TextBody"/>
        <w:bidi w:val="0"/>
        <w:jc w:val="both"/>
        <w:rPr>
          <w:rFonts w:ascii="Arial" w:hAnsi="Arial"/>
          <w:color w:val="000000"/>
          <w:sz w:val="20"/>
        </w:rPr>
      </w:pPr>
      <w:r>
        <w:rPr>
          <w:rFonts w:ascii="Arial" w:hAnsi="Arial"/>
          <w:color w:val="000000"/>
          <w:sz w:val="20"/>
        </w:rPr>
        <w:t>Exercise Price per Share: EUR _____________</w:t>
      </w:r>
    </w:p>
    <w:p>
      <w:pPr>
        <w:pStyle w:val="TextBody"/>
        <w:bidi w:val="0"/>
        <w:jc w:val="both"/>
        <w:rPr>
          <w:rFonts w:ascii="Times New Roman" w:hAnsi="Times New Roman"/>
          <w:sz w:val="20"/>
        </w:rPr>
      </w:pPr>
      <w:r>
        <w:rPr>
          <w:rFonts w:ascii="Arial" w:hAnsi="Arial"/>
          <w:color w:val="000000"/>
          <w:sz w:val="20"/>
        </w:rPr>
        <w:t>Total Number of Shares Granted:</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Total Exercise Price: EUR _____________</w:t>
      </w:r>
    </w:p>
    <w:p>
      <w:pPr>
        <w:pStyle w:val="TextBody"/>
        <w:bidi w:val="0"/>
        <w:jc w:val="both"/>
        <w:rPr>
          <w:rFonts w:ascii="Times New Roman" w:hAnsi="Times New Roman"/>
          <w:sz w:val="20"/>
        </w:rPr>
      </w:pPr>
      <w:r>
        <w:rPr>
          <w:rFonts w:ascii="Arial" w:hAnsi="Arial"/>
          <w:color w:val="000000"/>
          <w:sz w:val="20"/>
        </w:rPr>
        <w:t>Type of Options</w:t>
      </w:r>
      <w:r>
        <w:rPr>
          <w:rFonts w:ascii="Arial" w:hAnsi="Arial"/>
          <w:color w:val="000000"/>
          <w:sz w:val="13"/>
        </w:rPr>
        <w:t>44)</w:t>
      </w:r>
      <w:r>
        <w:rPr>
          <w:rFonts w:ascii="Times New Roman" w:hAnsi="Times New Roman"/>
          <w:color w:val="000000"/>
          <w:sz w:val="20"/>
        </w:rPr>
        <w:t xml:space="preserve"> </w:t>
      </w:r>
      <w:r>
        <w:rPr>
          <w:rFonts w:ascii="Arial" w:hAnsi="Arial"/>
          <w:color w:val="000000"/>
          <w:sz w:val="20"/>
        </w:rPr>
        <w:t xml:space="preserve">: </w:t>
      </w:r>
    </w:p>
    <w:p>
      <w:pPr>
        <w:pStyle w:val="TextBody"/>
        <w:bidi w:val="0"/>
        <w:jc w:val="left"/>
        <w:rPr>
          <w:rFonts w:ascii="Arial" w:hAnsi="Arial"/>
          <w:color w:val="000000"/>
          <w:sz w:val="20"/>
        </w:rPr>
      </w:pPr>
      <w:r>
        <w:rPr>
          <w:rFonts w:ascii="Arial" w:hAnsi="Arial"/>
          <w:color w:val="000000"/>
          <w:sz w:val="20"/>
        </w:rPr>
        <w:t>Non-Statutory Stock Option Term/Expiration Date: _________________</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case the exercise of an Option, as described under Section 9(a) of the Plan, would lead the Company to be liable for any payment, whether due to fees, taxes or to charges of any nature whatsoever, in place of the Optionee, such Option shall be deemed duly exercised when the full payment for the Shares with respect to which the Option is exercised is executed by the Optionee and the Optionee provides the Company with either the receipt stating the payment by the Optionee of any such fee, tax or charge, as above described that would otherwise be paid by the Company upon exercise of the Option, in place of the Optionee or, the full payment, under the same conditions, of any amount due upon the exercise of the Option to be borne by the Company.</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In the event that you infringe the above-mentioned commitment, you shall be liable for any consequences resulting from such infringement for the Company and undertake to indemnify the Company in respect of all amounts payable by the Company in connection with such infringement.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15"/>
        </w:rPr>
        <w:t>(1)</w:t>
      </w:r>
      <w:r>
        <w:rPr>
          <w:rFonts w:ascii="Times New Roman" w:hAnsi="Times New Roman"/>
          <w:color w:val="000000"/>
          <w:sz w:val="20"/>
        </w:rPr>
        <w:t xml:space="preserve"> </w:t>
      </w:r>
      <w:r>
        <w:rPr>
          <w:rFonts w:ascii="Arial" w:hAnsi="Arial"/>
          <w:color w:val="000000"/>
          <w:sz w:val="18"/>
        </w:rPr>
        <w:t>reference number of Grant assigned by the Company, if it so wishes.</w:t>
      </w:r>
    </w:p>
    <w:p>
      <w:pPr>
        <w:pStyle w:val="TextBody"/>
        <w:bidi w:val="0"/>
        <w:jc w:val="left"/>
        <w:rPr>
          <w:rFonts w:ascii="Times New Roman" w:hAnsi="Times New Roman"/>
          <w:sz w:val="20"/>
        </w:rPr>
      </w:pPr>
      <w:r>
        <w:rPr>
          <w:rFonts w:ascii="Arial" w:hAnsi="Arial"/>
          <w:color w:val="000000"/>
          <w:sz w:val="15"/>
        </w:rPr>
        <w:t>(2)</w:t>
      </w:r>
      <w:r>
        <w:rPr>
          <w:rFonts w:ascii="Times New Roman" w:hAnsi="Times New Roman"/>
          <w:color w:val="000000"/>
          <w:sz w:val="20"/>
        </w:rPr>
        <w:t xml:space="preserve"> </w:t>
      </w:r>
      <w:r>
        <w:rPr>
          <w:rFonts w:ascii="Arial" w:hAnsi="Arial"/>
          <w:color w:val="000000"/>
          <w:sz w:val="18"/>
        </w:rPr>
        <w:t>date of the Board meeting having allocated the Option.</w:t>
      </w:r>
    </w:p>
    <w:p>
      <w:pPr>
        <w:pStyle w:val="TextBody"/>
        <w:bidi w:val="0"/>
        <w:jc w:val="left"/>
        <w:rPr>
          <w:rFonts w:ascii="Times New Roman" w:hAnsi="Times New Roman"/>
          <w:sz w:val="20"/>
        </w:rPr>
      </w:pPr>
      <w:r>
        <w:rPr>
          <w:rFonts w:ascii="Arial" w:hAnsi="Arial"/>
          <w:color w:val="000000"/>
          <w:sz w:val="15"/>
        </w:rPr>
        <w:t>(3)</w:t>
      </w:r>
      <w:r>
        <w:rPr>
          <w:rFonts w:ascii="Times New Roman" w:hAnsi="Times New Roman"/>
          <w:color w:val="000000"/>
          <w:sz w:val="20"/>
        </w:rPr>
        <w:t xml:space="preserve"> </w:t>
      </w:r>
      <w:r>
        <w:rPr>
          <w:rFonts w:ascii="Arial" w:hAnsi="Arial"/>
          <w:color w:val="000000"/>
          <w:sz w:val="18"/>
        </w:rPr>
        <w:t>date chosen by the Board as the Vesting Commencement Date; failing that, Date of Grant.</w:t>
      </w:r>
    </w:p>
    <w:p>
      <w:pPr>
        <w:pStyle w:val="TextBody"/>
        <w:bidi w:val="0"/>
        <w:jc w:val="left"/>
        <w:rPr>
          <w:rFonts w:ascii="Times New Roman" w:hAnsi="Times New Roman"/>
          <w:sz w:val="20"/>
        </w:rPr>
      </w:pPr>
      <w:r>
        <w:rPr>
          <w:rFonts w:ascii="Arial" w:hAnsi="Arial"/>
          <w:color w:val="000000"/>
          <w:sz w:val="12"/>
        </w:rPr>
        <w:t>(4)</w:t>
      </w:r>
      <w:r>
        <w:rPr>
          <w:rFonts w:ascii="Times New Roman" w:hAnsi="Times New Roman"/>
          <w:color w:val="000000"/>
          <w:sz w:val="20"/>
        </w:rPr>
        <w:t xml:space="preserve"> </w:t>
      </w:r>
      <w:r>
        <w:rPr>
          <w:rFonts w:ascii="Arial" w:hAnsi="Arial"/>
          <w:color w:val="000000"/>
          <w:sz w:val="18"/>
        </w:rPr>
        <w:t>for U.S. Beneficiaries only.</w:t>
      </w:r>
    </w:p>
    <w:p>
      <w:pPr>
        <w:pStyle w:val="TextBody"/>
        <w:bidi w:val="0"/>
        <w:jc w:val="center"/>
        <w:rPr>
          <w:rFonts w:ascii="Arial" w:hAnsi="Arial"/>
          <w:color w:val="000000"/>
          <w:sz w:val="20"/>
        </w:rPr>
      </w:pPr>
      <w:r>
        <w:rPr>
          <w:rFonts w:ascii="Arial" w:hAnsi="Arial"/>
          <w:color w:val="000000"/>
          <w:sz w:val="20"/>
        </w:rPr>
        <w:t>11/22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A third-party provider, Banque Transatlantique, has been designated by the Company to establish and maintain an on-line electronic system to manage the Plan (the “System”). To the extend you consent to participate to the Plan by electronic means (i.e., via the System), all the administrative steps related to your Options must be made via the System, including reviewing and accepting Part I and Part II of the Stock Option Grant Agreement duly signed.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You have to return to the Company Part I and Part II of the Stock Option Grant Agreement duly signed.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Validity of the Options: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Options will be valid as from the Date of Grant.</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Vesting Schedule (non-executive committee):</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Unless otherwise determined or adapted by the Board</w:t>
      </w:r>
      <w:r>
        <w:rPr>
          <w:rFonts w:ascii="Arial" w:hAnsi="Arial"/>
          <w:color w:val="000000"/>
          <w:sz w:val="13"/>
        </w:rPr>
        <w:t>5</w:t>
      </w:r>
      <w:r>
        <w:rPr>
          <w:rFonts w:ascii="Arial" w:hAnsi="Arial"/>
          <w:color w:val="000000"/>
          <w:sz w:val="20"/>
        </w:rPr>
        <w:t>, and subject to the header “Termination Period” below, the Options may be exercised by the Optionee on the basis of the following initial vesting schedule subject to the condition precedent that the Optionee shall have previously returned to the Company or to the third party designed by the Company the documents referred to under Section 2 of Part II of the Stock Option Grant Agreement duly initialed and signed: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Arial" w:hAnsi="Arial"/>
          <w:color w:val="000000"/>
          <w:sz w:val="20"/>
        </w:rPr>
      </w:pPr>
      <w:r>
        <w:rPr>
          <w:rFonts w:ascii="Arial" w:hAnsi="Arial"/>
          <w:color w:val="000000"/>
          <w:sz w:val="20"/>
        </w:rPr>
        <w:t xml:space="preserve">25% of the Options, i.e.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__o__] Options, as from the first anniversary of the Date of Grant, i.e., as from [__o__], subject to the Continuous Status as a Beneficiary of the Optionee at this date,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then, 6.25% of the Options at the expiration of each three month period following the first anniversary of the Vesting Commencement Date, i.e., as from [__o__] until [__o__], subject to the Continuous Status as a Beneficiary of the Optionee at the end of each calendar quarter considered, and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at the latest within ten (10) years as from the Date of Grant or in case of death or Disability of the Optionee during such then (10) year period, six (6) months as from the death or Disability of the Optionee.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number of Options that could be exercised pursuant to the above vesting schedule will always be rounded down to the nearest full number.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w:t>
      </w:r>
      <w:r>
        <w:rPr>
          <w:rFonts w:ascii="Arial" w:hAnsi="Arial"/>
          <w:color w:val="000000"/>
          <w:sz w:val="18"/>
        </w:rPr>
        <w:t>Note: Pursuant to the shareholders’ authorization under which this Plan was adopted, any Options granted to members of the Company’s executive committee (including its legal representatives and other top managers) shall be subject to (i) performance conditions (i.e. 1/3 if the Company reaches a certain level of cash position, 1/3 if a clinical and/or regulatory target is met and 1/3 in theif a manufacturing target is met), and (ii) a vesting period with a three-year cliff, pursuant to which no Option shall vest prior to the third anniversary of the date of Grant. On such date, the Options corresponding to the performance conditions effectively achieved as of such third (3rd) anniversary shall vest, it being specified that (a) if all performance conditions are achieved, 100% of the Options shall vest, (b) if only certain performance conditions are achieved, only the corresponding portion of the Options shall vest on a proportional basis, and (c) any portion of the Options subject to performance conditions that are not achieved as of such date shall be automatically forfeited and cancelled without compensation; provided, however, that the Board of Directors shall have the right to provide, if applicable, in the event of a change of control of the Company, for an acceleration of such vesting, in whole or in part, and (iii) if applicable, any policy adopted by the Board of Directors in this regard in accordance with applicable regulations, including, in particular, the rules adopted by Nasdaq in the United States relating to the granting of supplementary compensation and incentive instruments to executives on the basis of erroneous financial statements (“clawback policies”), it being specified that the Board of Directors shall have the right to provide, if applicable, in the event of a change of control of the Company, for an acceleration of the vesting, in whole or in part.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If the Optionee fails to exercise the Options in whole or in part within ten (10) years as from the Date of Grant (or, if applicable, within six (6) months following the death or Disability of the Optionee), the Options will lapse automatically.</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Termination Period:</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Unless otherwise decided by the Board, in case of termination of the Optionee's Continuous Status as a Beneficiary other than for death or Disability, the Options exercisable at the time of termination may be exercised for three (3) months after such termination, being specified that all other Options shall automatically expire at the time of termination.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Unless otherwise decided by the Board, upon the death or Disability of the Optionee, the Options may be exercised during a period of six (6) months as provided in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Save as provided in the Plan, in no event shall the Options be exercised later than the Term/Expiration Date as provided above. Should the Options expire or become unexercisable for any reason without having been exercised in full, the unsubscribed Shares which were subject thereto shall, unless the Plan shall have been terminated, become available for future grant under the Plan.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By his acceptance to participate in the Plan by electronic means of the Options (via the System), the Optionee agrees that the Options are granted under and governed by the terms and conditions of the Plan and this Option Agreement. The Optionee has reviewed the Plan and this Option Agreement in their entirely, has had the opportunity to obtain the advice of counsel prior to executing this Option Agreement and fully understands all provisions of the Plan and Option Agreement. The Optionee hereby agrees to accept as binding, conclusive and final all decisions or interpretations of the Administrator upon any questions relating to the Plan and Option Agreement. The Optionee further agrees to notify the Company upon any change in the residence address indicated above.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CELLECTIS</w:t>
      </w:r>
    </w:p>
    <w:p>
      <w:pPr>
        <w:pStyle w:val="TextBody"/>
        <w:bidi w:val="0"/>
        <w:jc w:val="center"/>
        <w:rPr>
          <w:rFonts w:ascii="Arial" w:hAnsi="Arial"/>
          <w:b/>
          <w:color w:val="000000"/>
          <w:sz w:val="20"/>
        </w:rPr>
      </w:pPr>
      <w:r>
        <w:rPr>
          <w:rFonts w:ascii="Arial" w:hAnsi="Arial"/>
          <w:b/>
          <w:color w:val="000000"/>
          <w:sz w:val="20"/>
        </w:rPr>
        <w:t>STOCK OPTION GRANT AGREEMENT</w:t>
      </w:r>
    </w:p>
    <w:p>
      <w:pPr>
        <w:pStyle w:val="TextBody"/>
        <w:bidi w:val="0"/>
        <w:jc w:val="center"/>
        <w:rPr>
          <w:rFonts w:ascii="Arial" w:hAnsi="Arial"/>
          <w:b/>
          <w:color w:val="000000"/>
          <w:sz w:val="20"/>
        </w:rPr>
      </w:pPr>
      <w:r>
        <w:rPr>
          <w:rFonts w:ascii="Arial" w:hAnsi="Arial"/>
          <w:b/>
          <w:color w:val="000000"/>
          <w:sz w:val="20"/>
        </w:rPr>
        <w:t>Part II</w:t>
      </w:r>
    </w:p>
    <w:p>
      <w:pPr>
        <w:pStyle w:val="TextBody"/>
        <w:bidi w:val="0"/>
        <w:jc w:val="center"/>
        <w:rPr>
          <w:rFonts w:ascii="Arial" w:hAnsi="Arial"/>
          <w:b/>
          <w:color w:val="000000"/>
          <w:sz w:val="20"/>
        </w:rPr>
      </w:pPr>
      <w:r>
        <w:rPr>
          <w:rFonts w:ascii="Arial" w:hAnsi="Arial"/>
          <w:b/>
          <w:color w:val="000000"/>
          <w:sz w:val="20"/>
        </w:rPr>
        <w:t>TERMS AND CONDITIONS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1. Grant of Options</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1.1. The Administrator of the Company hereby grants to the Optionee named in the Notice of Grant attached as Part I of this Option Agreement (the "Optionee"), options, the number of which is mentioned in the Optionee’s Banque Transatlantique account (the "Options") to subscribe the number of ordinary Shares, as set forth in the Notice of Grant, at the exercise price per Share set forth in the Notice of Grant (the "Exercise Price"), subject to the terms and conditions of the Plan, which is incorporated herein by reference.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a conflict between the terms and conditions of the Plan and the terms and conditions of this Option Agreement, the terms and conditions of the Plan shall prevail.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1.2. An Option will be valid as from the Date of Grant.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1.3. In the event of any tax liability arising on account of the grant of the Options, the liability to pay such taxes shall be that of the Beneficiary alone. The Beneficiary shall enter into such agreements of indemnity and execute any and all documents as the Company may specify for this purpose, if so required at the time of the grant and at any other time at the discretion of the Company, on such terms and conditions as the Company may think fit, for recovery of the tax due, from the Beneficiary.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2. Exercise of Options</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(a) Right to Exercise</w:t>
      </w:r>
      <w:r>
        <w:rPr>
          <w:rFonts w:ascii="Arial" w:hAnsi="Arial"/>
          <w:color w:val="000000"/>
          <w:sz w:val="20"/>
        </w:rPr>
        <w:t>. An Option is exercisable during its term in accordance with the Vesting Schedule set out in the Notice of Grant and the applicable provisions of the Plan and this Option Agreement, subject to the condition precedent that the Optionee shall have previously returned to the Company Part I and Part II of the Stock Option Grant Agreement (Exhibit), duly signed.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the Optionee's death, Disability or other termination of the Optionee's Continuous Status as a Beneficiary, the exercisability of an Option is governed by the applicable provisions of the Plan and this Option Agreement.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It is reminded that any exercise of Options is subject to the Company’s prior approval. The Company reserves the right to refuse exercise of Options if such exercise does not comply with internal policies, including without limitation the policy related to Insider Trading.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(b) Method of Exercise</w:t>
      </w:r>
      <w:r>
        <w:rPr>
          <w:rFonts w:ascii="Arial" w:hAnsi="Arial"/>
          <w:color w:val="000000"/>
          <w:sz w:val="20"/>
        </w:rPr>
        <w:t>. An Option is exercisable by delivery of an exercise notice, in the form attached hereto (the “Exercise Notice”) or via the System, stating the election to exercise the Option, the number of Shares in respect of which the Option is being exercised (the "Exercised Shares"), and such other representations and agreements as may be required by the Company pursuant to the provisions of the Plan. The Exercise Notice shall (i) be signed by the Optionee and shall be delivered in person or by certified mail to the Company or its designated representative or by facsimile message to be immediately confirmed by certified mail to the Company, or (ii) provided by electronic means via the the System. The Exercise Notice shall be accompanied by payment of the aggregate Exercise Price as to all Exercised Shares. An Option shall be deemed to be exercised upon receipt by the Company or by a third party designed by the Company of such fully executed Exercise Notice accompanied by the proof of payment of such aggregate Exercise Price.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 Share shall be issued pursuant to the exercise of an Option unless such issuance and exercise complies with all relevant provisions of law as set out under Section 14(a) of the Plan.</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14/22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Upon exercise of an Option, the Shares issued to the Optionee shall be assimilated with all other Shares of the Company and shall be entitled to dividends for the fiscal year in course during which the Option is exercised, starting with the first dividend issuance date that occurs after exercise.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3</w:t>
      </w:r>
      <w:r>
        <w:rPr>
          <w:rFonts w:ascii="Arial" w:hAnsi="Arial"/>
          <w:b/>
          <w:i/>
          <w:color w:val="000000"/>
          <w:sz w:val="20"/>
        </w:rPr>
        <w:t>.</w:t>
      </w:r>
      <w:r>
        <w:rPr>
          <w:rFonts w:ascii="Times New Roman" w:hAnsi="Times New Roman"/>
          <w:color w:val="000000"/>
          <w:sz w:val="20"/>
        </w:rPr>
        <w:t xml:space="preserve"> </w:t>
      </w:r>
      <w:r>
        <w:rPr>
          <w:rFonts w:ascii="Arial" w:hAnsi="Arial"/>
          <w:b/>
          <w:color w:val="000000"/>
          <w:sz w:val="20"/>
        </w:rPr>
        <w:t>Method of Payment</w:t>
      </w:r>
      <w:r>
        <w:rPr>
          <w:rFonts w:ascii="Arial" w:hAnsi="Arial"/>
          <w:color w:val="000000"/>
          <w:sz w:val="20"/>
        </w:rPr>
        <w:t>. Payment of the aggregate Exercise Price shall be made by wire transfer in Euros.</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The Company and its Affiliated Companies may not be held responsible in any way if the Beneficiary for any reason not attributable to the Company or its Affiliated Companies was not able to exercise the Option or purchase the underlying Shares. The payment of the Exercice Price shall be made by the Optionee under his/her own responsibility according to these Terms and Conditions.</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4.</w:t>
      </w:r>
      <w:r>
        <w:rPr>
          <w:rFonts w:ascii="Times New Roman" w:hAnsi="Times New Roman"/>
          <w:color w:val="000000"/>
          <w:sz w:val="20"/>
        </w:rPr>
        <w:t xml:space="preserve"> </w:t>
      </w:r>
      <w:r>
        <w:rPr>
          <w:rFonts w:ascii="Arial" w:hAnsi="Arial"/>
          <w:b/>
          <w:color w:val="000000"/>
          <w:sz w:val="20"/>
        </w:rPr>
        <w:t>Non-Transferability of Option.</w:t>
      </w:r>
      <w:r>
        <w:rPr>
          <w:rFonts w:ascii="Times New Roman" w:hAnsi="Times New Roman"/>
          <w:color w:val="000000"/>
          <w:sz w:val="20"/>
        </w:rPr>
        <w:t xml:space="preserve"> </w:t>
      </w:r>
      <w:r>
        <w:rPr>
          <w:rFonts w:ascii="Arial" w:hAnsi="Arial"/>
          <w:color w:val="000000"/>
          <w:sz w:val="20"/>
        </w:rPr>
        <w:t>An Option may not be transferred in any manner otherwise than by will or by the laws of descent or distribution and may be exercised during the lifetime of the Optionee only by the Optionee. The terms of the Plan and this Option Agreement shall be binding upon the executors, administrators, heirs, successors and assigns of the Optionee.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5. Term of Options.</w:t>
      </w:r>
      <w:r>
        <w:rPr>
          <w:rFonts w:ascii="Times New Roman" w:hAnsi="Times New Roman"/>
          <w:color w:val="000000"/>
          <w:sz w:val="20"/>
        </w:rPr>
        <w:t xml:space="preserve"> </w:t>
      </w:r>
      <w:r>
        <w:rPr>
          <w:rFonts w:ascii="Arial" w:hAnsi="Arial"/>
          <w:color w:val="000000"/>
          <w:sz w:val="20"/>
        </w:rPr>
        <w:t>Subject to the Plan, an Option may be exercised only within the term set out in the Notice of Grant, and may be exercised during such term only in accordance with the Plan and the terms of this Option Agreement.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6. Entire Agreement - Governing Law.</w:t>
      </w:r>
      <w:r>
        <w:rPr>
          <w:rFonts w:ascii="Times New Roman" w:hAnsi="Times New Roman"/>
          <w:color w:val="000000"/>
          <w:sz w:val="20"/>
        </w:rPr>
        <w:t xml:space="preserve"> </w:t>
      </w:r>
      <w:r>
        <w:rPr>
          <w:rFonts w:ascii="Arial" w:hAnsi="Arial"/>
          <w:color w:val="000000"/>
          <w:sz w:val="20"/>
        </w:rPr>
        <w:t>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Option Agreement is governed by the laws of the Republic of France.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claim or dispute arising under the Plan or this Option Agreement shall be subject to the exclusive jurisdiction of the court competent for the place of the registered office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7. Tax Obligations. </w:t>
      </w:r>
      <w:r>
        <w:rPr>
          <w:rFonts w:ascii="Arial" w:hAnsi="Arial"/>
          <w:color w:val="000000"/>
          <w:sz w:val="20"/>
        </w:rPr>
        <w:t>Regardless of any action the Company or the Employer takes with respect to any or all income tax, social insurance, payroll tax, or other tax-related withholding (“Tax-Related Items”), the Optionee acknowledges that the ultimate liability for all Tax-Related Items legally due by the Optionee is and remains the Optionee’s responsibility and that the Company and/or the Employer (a) make no representations or undertakings regarding the treatment of any Tax-Related Items in connection with any aspect of the Option grant, including the grant, vesting or exercise of the Option, the subsequent sale of shares of Share Capital acquired pursuant to such exercise and the receipt of any dividends; and (b) do not commit to structure the terms of the grant or any aspect of the Option to reduce or eliminate Optionee’s liability for Tax-Related Items.</w:t>
      </w:r>
    </w:p>
    <w:p>
      <w:pPr>
        <w:pStyle w:val="TextBody"/>
        <w:bidi w:val="0"/>
        <w:spacing w:before="240" w:after="283"/>
        <w:jc w:val="both"/>
        <w:rPr>
          <w:rFonts w:ascii="Arial" w:hAnsi="Arial"/>
          <w:color w:val="000000"/>
          <w:sz w:val="20"/>
        </w:rPr>
      </w:pPr>
      <w:r>
        <w:rPr>
          <w:rFonts w:ascii="Arial" w:hAnsi="Arial"/>
          <w:color w:val="000000"/>
          <w:sz w:val="20"/>
        </w:rPr>
        <w:t>Prior to exercise of the Option, the Optionee will pay or make adequate arrangements satisfactory to the Company and/or the Employer to satisfy all withholding obligations of the Company and/or the Employer, if any. In this regard, the Optionee authorizes the Company and/or the Employer to withhold all applicable Tax-Related Items legally payable by the Optionee from Optionee’s compensation paid to the Optionee by the Company and/or Employer or from proceeds of the sale of Shares. Alternatively, or in addition, if permissible under local law, the Company may sell or arrange for the sale of Shares that the Optionee acquires to meet the withholding obligation for Tax-Related Items. Finally, the Optionee will pay to the Company or the Employer any amount of Tax-Related Items that the Company or the Employer may be required to withhold as a result of the Optionee’s participation in the Plan or the Optionee’s purchase of Shares that cannot be satisfied by the means previously described. The Company may refuse to honor the exercise and refuse to deliver the Shares issuable upon exercise of the Options if the Optionee fails to comply with Optionee’s obligations in connection with the Tax-Related Items as described in this section.</w:t>
      </w:r>
    </w:p>
    <w:p>
      <w:pPr>
        <w:pStyle w:val="TextBody"/>
        <w:bidi w:val="0"/>
        <w:jc w:val="center"/>
        <w:rPr>
          <w:rFonts w:ascii="Arial" w:hAnsi="Arial"/>
          <w:color w:val="000000"/>
          <w:sz w:val="20"/>
        </w:rPr>
      </w:pPr>
      <w:r>
        <w:rPr>
          <w:rFonts w:ascii="Arial" w:hAnsi="Arial"/>
          <w:color w:val="000000"/>
          <w:sz w:val="20"/>
        </w:rPr>
        <w:t>15/22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sz w:val="20"/>
        </w:rPr>
      </w:pPr>
      <w:r>
        <w:rPr>
          <w:rFonts w:ascii="Arial" w:hAnsi="Arial"/>
          <w:b/>
          <w:color w:val="000000"/>
          <w:sz w:val="20"/>
        </w:rPr>
        <w:t>8. Nature of Grant.</w:t>
      </w:r>
      <w:r>
        <w:rPr>
          <w:rFonts w:ascii="Times New Roman" w:hAnsi="Times New Roman"/>
          <w:color w:val="000000"/>
          <w:sz w:val="20"/>
        </w:rPr>
        <w:t xml:space="preserve"> </w:t>
      </w:r>
      <w:r>
        <w:rPr>
          <w:rFonts w:ascii="Arial" w:hAnsi="Arial"/>
          <w:color w:val="000000"/>
          <w:sz w:val="20"/>
        </w:rPr>
        <w:t>In accepting the grant, the Optionee acknowledges that:</w:t>
        <w:br/>
      </w:r>
      <w:r>
        <w:rPr>
          <w:rFonts w:ascii="Times New Roman" w:hAnsi="Times New Roman"/>
          <w:color w:val="000000"/>
          <w:sz w:val="20"/>
        </w:rPr>
        <w:t> </w:t>
      </w:r>
    </w:p>
    <w:p>
      <w:pPr>
        <w:pStyle w:val="TextBody"/>
        <w:bidi w:val="0"/>
        <w:jc w:val="both"/>
        <w:rPr>
          <w:rFonts w:ascii="Arial" w:hAnsi="Arial"/>
          <w:color w:val="000000"/>
          <w:sz w:val="20"/>
        </w:rPr>
      </w:pPr>
      <w:r>
        <w:rPr>
          <w:rFonts w:ascii="Arial" w:hAnsi="Arial"/>
          <w:color w:val="000000"/>
          <w:sz w:val="20"/>
        </w:rPr>
        <w:t>(a) the Plan is established voluntarily by the Company, it is discretionary in nature and it may be modified, amended, suspended or terminated by the Company at any time, unless otherwise provided in the Plan and this Option Agreement;</w:t>
      </w:r>
    </w:p>
    <w:p>
      <w:pPr>
        <w:pStyle w:val="TextBody"/>
        <w:bidi w:val="0"/>
        <w:jc w:val="both"/>
        <w:rPr>
          <w:rFonts w:ascii="Arial" w:hAnsi="Arial"/>
          <w:color w:val="000000"/>
          <w:sz w:val="20"/>
        </w:rPr>
      </w:pPr>
      <w:r>
        <w:rPr>
          <w:rFonts w:ascii="Arial" w:hAnsi="Arial"/>
          <w:color w:val="000000"/>
          <w:sz w:val="20"/>
        </w:rPr>
        <w:t>(b) the grant of the Option is voluntary and occasional and does not create any contractual or other right to receive future grants of options, or benefits in lieu of options, even if options have been granted repeatedly in the past;</w:t>
      </w:r>
    </w:p>
    <w:p>
      <w:pPr>
        <w:pStyle w:val="TextBody"/>
        <w:bidi w:val="0"/>
        <w:jc w:val="both"/>
        <w:rPr>
          <w:rFonts w:ascii="Arial" w:hAnsi="Arial"/>
          <w:color w:val="000000"/>
          <w:sz w:val="20"/>
        </w:rPr>
      </w:pPr>
      <w:r>
        <w:rPr>
          <w:rFonts w:ascii="Arial" w:hAnsi="Arial"/>
          <w:color w:val="000000"/>
          <w:sz w:val="20"/>
        </w:rPr>
        <w:t>(c) all decisions with respect to future option grants, if any, will be at the sole discretion of the Company;</w:t>
      </w:r>
    </w:p>
    <w:p>
      <w:pPr>
        <w:pStyle w:val="TextBody"/>
        <w:bidi w:val="0"/>
        <w:jc w:val="both"/>
        <w:rPr>
          <w:rFonts w:ascii="Arial" w:hAnsi="Arial"/>
          <w:color w:val="000000"/>
          <w:sz w:val="20"/>
        </w:rPr>
      </w:pPr>
      <w:r>
        <w:rPr>
          <w:rFonts w:ascii="Arial" w:hAnsi="Arial"/>
          <w:color w:val="000000"/>
          <w:sz w:val="20"/>
        </w:rPr>
        <w:t>(d) the Optionee’s participation in the Plan shall not create a right to further employment with the employer and shall not interfere with the ability of the Employer to terminate the Optionee’s employment relationship at any time with or without cause;</w:t>
      </w:r>
    </w:p>
    <w:p>
      <w:pPr>
        <w:pStyle w:val="TextBody"/>
        <w:bidi w:val="0"/>
        <w:jc w:val="both"/>
        <w:rPr>
          <w:rFonts w:ascii="Arial" w:hAnsi="Arial"/>
          <w:color w:val="000000"/>
          <w:sz w:val="20"/>
        </w:rPr>
      </w:pPr>
      <w:r>
        <w:rPr>
          <w:rFonts w:ascii="Arial" w:hAnsi="Arial"/>
          <w:color w:val="000000"/>
          <w:sz w:val="20"/>
        </w:rPr>
        <w:t>(e) the Optionee is voluntarily participating in the Plan;</w:t>
      </w:r>
    </w:p>
    <w:p>
      <w:pPr>
        <w:pStyle w:val="TextBody"/>
        <w:bidi w:val="0"/>
        <w:jc w:val="both"/>
        <w:rPr>
          <w:rFonts w:ascii="Arial" w:hAnsi="Arial"/>
          <w:color w:val="000000"/>
          <w:sz w:val="20"/>
        </w:rPr>
      </w:pPr>
      <w:r>
        <w:rPr>
          <w:rFonts w:ascii="Arial" w:hAnsi="Arial"/>
          <w:color w:val="000000"/>
          <w:sz w:val="20"/>
        </w:rPr>
        <w:t>(f) the Option is an extraordinary item that does not constitute compensation of any kind for services of any kind rendered to the Company or the Employer, and which is outside the scope of the Optionee’s employment contract, if any;</w:t>
      </w:r>
    </w:p>
    <w:p>
      <w:pPr>
        <w:pStyle w:val="TextBody"/>
        <w:bidi w:val="0"/>
        <w:jc w:val="both"/>
        <w:rPr>
          <w:rFonts w:ascii="Arial" w:hAnsi="Arial"/>
          <w:color w:val="000000"/>
          <w:sz w:val="20"/>
        </w:rPr>
      </w:pPr>
      <w:r>
        <w:rPr>
          <w:rFonts w:ascii="Arial" w:hAnsi="Arial"/>
          <w:color w:val="000000"/>
          <w:sz w:val="20"/>
        </w:rPr>
        <w:t>(g) the Option is not part of normal or expected compensation or salary for any purpose, including, but not limited to, calculating any severance, resignation, termination, redundancy, end of service payments, bonuses, long service awards, pension or retirement benefits or similar payments and in no event should be considered as compensation for, or relating in any way to, past services for the Company or the Employer;</w:t>
      </w:r>
    </w:p>
    <w:p>
      <w:pPr>
        <w:pStyle w:val="TextBody"/>
        <w:bidi w:val="0"/>
        <w:jc w:val="both"/>
        <w:rPr>
          <w:rFonts w:ascii="Arial" w:hAnsi="Arial"/>
          <w:color w:val="000000"/>
          <w:sz w:val="20"/>
        </w:rPr>
      </w:pPr>
      <w:r>
        <w:rPr>
          <w:rFonts w:ascii="Arial" w:hAnsi="Arial"/>
          <w:color w:val="000000"/>
          <w:sz w:val="20"/>
        </w:rPr>
        <w:t>(h) the Option grant will not be interpreted to form an employment contract with the Company, the Employer or any Subsidiary or Affiliated Company;</w:t>
      </w:r>
    </w:p>
    <w:p>
      <w:pPr>
        <w:pStyle w:val="TextBody"/>
        <w:bidi w:val="0"/>
        <w:jc w:val="both"/>
        <w:rPr>
          <w:rFonts w:ascii="Arial" w:hAnsi="Arial"/>
          <w:color w:val="000000"/>
          <w:sz w:val="20"/>
        </w:rPr>
      </w:pPr>
      <w:r>
        <w:rPr>
          <w:rFonts w:ascii="Arial" w:hAnsi="Arial"/>
          <w:color w:val="000000"/>
          <w:sz w:val="20"/>
        </w:rPr>
        <w:t>(i) the future value of the underlying Shares is unknown and cannot be predicted with certainty;</w:t>
      </w:r>
    </w:p>
    <w:p>
      <w:pPr>
        <w:pStyle w:val="TextBody"/>
        <w:bidi w:val="0"/>
        <w:jc w:val="both"/>
        <w:rPr>
          <w:rFonts w:ascii="Arial" w:hAnsi="Arial"/>
          <w:color w:val="000000"/>
          <w:sz w:val="20"/>
        </w:rPr>
      </w:pPr>
      <w:r>
        <w:rPr>
          <w:rFonts w:ascii="Arial" w:hAnsi="Arial"/>
          <w:color w:val="000000"/>
          <w:sz w:val="20"/>
        </w:rPr>
        <w:t>(j) if the underlying Shares do not increase in value, the Option will have no value;</w:t>
      </w:r>
    </w:p>
    <w:p>
      <w:pPr>
        <w:pStyle w:val="TextBody"/>
        <w:bidi w:val="0"/>
        <w:jc w:val="both"/>
        <w:rPr>
          <w:rFonts w:ascii="Arial" w:hAnsi="Arial"/>
          <w:color w:val="000000"/>
          <w:sz w:val="20"/>
        </w:rPr>
      </w:pPr>
      <w:r>
        <w:rPr>
          <w:rFonts w:ascii="Arial" w:hAnsi="Arial"/>
          <w:color w:val="000000"/>
          <w:sz w:val="20"/>
        </w:rPr>
        <w:t>(k) if the Optionee exercises Optionee’s Option and obtains Shares, the value of those Shares acquired upon exercise may increase or decrease in value, even below the exercise price;</w:t>
      </w:r>
    </w:p>
    <w:p>
      <w:pPr>
        <w:pStyle w:val="TextBody"/>
        <w:bidi w:val="0"/>
        <w:jc w:val="both"/>
        <w:rPr>
          <w:rFonts w:ascii="Times New Roman" w:hAnsi="Times New Roman"/>
          <w:sz w:val="20"/>
        </w:rPr>
      </w:pPr>
      <w:r>
        <w:rPr>
          <w:rFonts w:ascii="Arial" w:hAnsi="Arial"/>
          <w:color w:val="000000"/>
          <w:sz w:val="20"/>
        </w:rPr>
        <w:t>(l) in consideration of the grant of the Option, no claim or entitlement to compensation or damages shall arise from termination of the Option or diminution in value of the Option or Shares purchased through exercise of the Option resulting from termination of Optionee’s employment the Company or the Employer (for any reason whatsoever) and Optionee irrevocably releases the Company and the Employer from any such claim that may arise; if, notwithstanding the foregoing, any such claim is found by a court of competent jurisdiction to have arisen, then, by signing this Option Agreement, the Optionee shall be deemed irrevocably to have waived Optionee’s entitlement to pursue such claim; and</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(m) in the event of termination of the Optionee’s employment, the Optionee’s right to receive the Option and vest in the Option under the Plan, if any, will terminate effective as of the date that the Optionee receives notice of termination regardless of when such termination is effective; furthermore, in the event of termination of employment, the Optionee’s right to exercise the Option after termination of employment, if any, will be measured by the date on which the Optionee receives notice of termination; the Company shall have the exclusive discretion to determine when the Optionee is no longer actively employed for purposes of the Optionee’s Option grant. In addition, any period of notice or compensation in lieu of such notice, that is given or ought to have been given under any contract, statute, common law or civil law shall be excluded.</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9. Data Privacy. The Optionee hereby explicitly and unambiguously consents to the collection, use and transfer, in electronic or other form, of Optionee’s personal data as described in this document by and among, as applicable, the Employer, the Company and its subsidiaries and affiliates for the exclusive purpose of implementing, administering and managing the Optionee’s participation in the Plan.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The Optionee understands that the Company and the Employer may hold certain personal information about the Optionee, including, but not limited to, the Optionee’s name, home address, email address and telephone number, date of birth, social insurance number, passport number or other identification number, salary, nationality, job title, any shares of stock or directorships held 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16/22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Arial" w:hAnsi="Arial"/>
          <w:b/>
          <w:color w:val="000000"/>
          <w:sz w:val="20"/>
        </w:rPr>
      </w:pPr>
      <w:r>
        <w:rPr>
          <w:rFonts w:ascii="Arial" w:hAnsi="Arial"/>
          <w:b/>
          <w:color w:val="000000"/>
          <w:sz w:val="20"/>
        </w:rPr>
        <w:t>the Company, details of all options or any other entitlement to shares of stock awarded, canceled, exercised, vested, unvested or outstanding in the Optionee’s favor, for the exclusive purpose of implementing, administering and managing the Plan (“Data”).</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Optionee’s participation in the Plan. The Optionee understands that the Optionee may, at any time, view the Data, request additional information about the storage processing of the Data, require any necessary amendments to Data or refuse or withdraw the consents herein, in any case without cost, by contacting in writing the Optionee’s local human resources representative. The Optionee understands, however, that refusing or withdrawing the Optionee’s consent may affect the Optionee’s ability to participate in the Plan. For more information on the consequences of the Optionee’s refusal to consent or withdrawal of consent, the Optionee understands that the Optionee may contact the Optionee’s local human resources representative.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If the Optionee resides in the Republic of France, any other country in the European Economic Area or the United Kingdom, the data privacy notice separately provided to such Optionee shall supersede this Section 9.</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10. Clawback Policy. </w:t>
      </w:r>
      <w:r>
        <w:rPr>
          <w:rFonts w:ascii="Arial" w:hAnsi="Arial"/>
          <w:color w:val="000000"/>
          <w:sz w:val="20"/>
        </w:rPr>
        <w:t xml:space="preserve">If the Optionnee is a current or former Executive Officer of the Company (as defined in the Clawback Policy), the Optionee acknowledges, agrees to and accepts that the Plan, this Option Agreement, the Option, any Shares issued upon exercise of the Option and any proceeds received by an Optionee from the sale of Shares issued upon exercise of the Option granted under the Plan shall be subject to the Clawback Policy applicable to the Optionee. </w:t>
      </w:r>
    </w:p>
    <w:p>
      <w:pPr>
        <w:pStyle w:val="TextBody"/>
        <w:bidi w:val="0"/>
        <w:spacing w:before="240" w:after="283"/>
        <w:jc w:val="both"/>
        <w:rPr>
          <w:rFonts w:ascii="Times New Roman" w:hAnsi="Times New Roman"/>
          <w:sz w:val="20"/>
        </w:rPr>
      </w:pPr>
      <w:r>
        <w:rPr>
          <w:rFonts w:ascii="Arial" w:hAnsi="Arial"/>
          <w:b/>
          <w:color w:val="000000"/>
          <w:sz w:val="20"/>
        </w:rPr>
        <w:t>11. Electronic Delivery.</w:t>
      </w:r>
      <w:r>
        <w:rPr>
          <w:rFonts w:ascii="Times New Roman" w:hAnsi="Times New Roman"/>
          <w:color w:val="000000"/>
          <w:sz w:val="20"/>
        </w:rPr>
        <w:t xml:space="preserve"> </w:t>
      </w:r>
      <w:r>
        <w:rPr>
          <w:rFonts w:ascii="Arial" w:hAnsi="Arial"/>
          <w:color w:val="000000"/>
          <w:sz w:val="20"/>
        </w:rPr>
        <w:t>The Company may, in its sole discretion, decide to deliver any documents related to the Option and participation in the Plan or future options that may be granted under the Plan by electronic means or to request Optionee’s consent to participate in the Plan by electronic means. The Optionee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240" w:after="283"/>
        <w:jc w:val="both"/>
        <w:rPr>
          <w:rFonts w:ascii="Times New Roman" w:hAnsi="Times New Roman"/>
          <w:sz w:val="20"/>
        </w:rPr>
      </w:pPr>
      <w:r>
        <w:rPr>
          <w:rFonts w:ascii="Arial" w:hAnsi="Arial"/>
          <w:b/>
          <w:color w:val="000000"/>
          <w:sz w:val="20"/>
        </w:rPr>
        <w:t>12. Language.</w:t>
      </w:r>
      <w:r>
        <w:rPr>
          <w:rFonts w:ascii="Times New Roman" w:hAnsi="Times New Roman"/>
          <w:color w:val="000000"/>
          <w:sz w:val="20"/>
        </w:rPr>
        <w:t xml:space="preserve"> </w:t>
      </w:r>
      <w:r>
        <w:rPr>
          <w:rFonts w:ascii="Arial" w:hAnsi="Arial"/>
          <w:color w:val="000000"/>
          <w:sz w:val="20"/>
        </w:rPr>
        <w:t>If the Optionee has received this document or any other document related to the Plan translated into a language other than French and if the translated version is different than the French version, the French version will control.</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rFonts w:ascii="Arial" w:hAnsi="Arial"/>
          <w:color w:val="000000"/>
          <w:sz w:val="20"/>
        </w:rPr>
      </w:pPr>
      <w:r>
        <w:rPr>
          <w:rFonts w:ascii="Arial" w:hAnsi="Arial"/>
          <w:color w:val="000000"/>
          <w:sz w:val="20"/>
        </w:rPr>
        <w:t>17/22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sz w:val="20"/>
        </w:rPr>
      </w:pPr>
      <w:r>
        <w:rPr>
          <w:rFonts w:ascii="Arial" w:hAnsi="Arial"/>
          <w:b/>
          <w:color w:val="000000"/>
          <w:sz w:val="20"/>
        </w:rPr>
        <w:t>13. Severability.</w:t>
      </w:r>
      <w:r>
        <w:rPr>
          <w:rFonts w:ascii="Times New Roman" w:hAnsi="Times New Roman"/>
          <w:color w:val="000000"/>
          <w:sz w:val="20"/>
        </w:rPr>
        <w:t xml:space="preserve"> </w:t>
      </w:r>
      <w:r>
        <w:rPr>
          <w:rFonts w:ascii="Arial" w:hAnsi="Arial"/>
          <w:color w:val="000000"/>
          <w:sz w:val="20"/>
        </w:rPr>
        <w:t>The provisions of this Option Agreement are severable and if any one or more provisions are determined to be illegal or otherwise unenforceable, in whole or in part, the remaining provisions shall nevertheless be binding and enforceable.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aps/>
          <w:color w:val="000000"/>
          <w:sz w:val="20"/>
        </w:rPr>
        <w:t>OPTIONEE:</w:t>
      </w:r>
      <w:r>
        <w:rPr>
          <w:rFonts w:ascii="Times New Roman" w:hAnsi="Times New Roman"/>
          <w:caps/>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_______________________</w:t>
      </w:r>
      <w:r>
        <w:rPr>
          <w:rFonts w:ascii="Times New Roman" w:hAnsi="Times New Roman"/>
          <w:color w:val="000000"/>
          <w:sz w:val="20"/>
        </w:rPr>
        <w:t xml:space="preserve"> </w:t>
      </w:r>
    </w:p>
    <w:p>
      <w:pPr>
        <w:pStyle w:val="TextBody"/>
        <w:bidi w:val="0"/>
        <w:jc w:val="both"/>
        <w:rPr>
          <w:rFonts w:ascii="Arial" w:hAnsi="Arial"/>
          <w:b/>
          <w:color w:val="000000"/>
          <w:sz w:val="20"/>
        </w:rPr>
      </w:pPr>
      <w:r>
        <w:rPr>
          <w:rFonts w:ascii="Arial" w:hAnsi="Arial"/>
          <w:b/>
          <w:color w:val="000000"/>
          <w:sz w:val="20"/>
        </w:rPr>
        <w:t>Signature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_______________________</w:t>
      </w:r>
      <w:r>
        <w:rPr>
          <w:rFonts w:ascii="Times New Roman" w:hAnsi="Times New Roman"/>
          <w:color w:val="000000"/>
          <w:sz w:val="20"/>
        </w:rPr>
        <w:t xml:space="preserve"> </w:t>
      </w:r>
    </w:p>
    <w:p>
      <w:pPr>
        <w:pStyle w:val="TextBody"/>
        <w:bidi w:val="0"/>
        <w:jc w:val="both"/>
        <w:rPr>
          <w:rFonts w:ascii="Arial" w:hAnsi="Arial"/>
          <w:b/>
          <w:color w:val="000000"/>
          <w:sz w:val="20"/>
        </w:rPr>
      </w:pPr>
      <w:r>
        <w:rPr>
          <w:rFonts w:ascii="Arial" w:hAnsi="Arial"/>
          <w:b/>
          <w:color w:val="000000"/>
          <w:sz w:val="20"/>
        </w:rPr>
        <w:t>Print Name</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_______________________</w:t>
      </w:r>
    </w:p>
    <w:p>
      <w:pPr>
        <w:pStyle w:val="TextBody"/>
        <w:bidi w:val="0"/>
        <w:jc w:val="both"/>
        <w:rPr>
          <w:rFonts w:ascii="Arial" w:hAnsi="Arial"/>
          <w:b/>
          <w:color w:val="000000"/>
          <w:sz w:val="20"/>
        </w:rPr>
      </w:pPr>
      <w:r>
        <w:rPr>
          <w:rFonts w:ascii="Arial" w:hAnsi="Arial"/>
          <w:b/>
          <w:color w:val="000000"/>
          <w:sz w:val="20"/>
        </w:rPr>
        <w:t>Residence Address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_______________________</w:t>
      </w:r>
    </w:p>
    <w:p>
      <w:pPr>
        <w:pStyle w:val="TextBody"/>
        <w:bidi w:val="0"/>
        <w:jc w:val="center"/>
        <w:rPr>
          <w:rFonts w:ascii="Arial" w:hAnsi="Arial"/>
          <w:color w:val="000000"/>
          <w:sz w:val="20"/>
        </w:rPr>
      </w:pPr>
      <w:r>
        <w:rPr>
          <w:rFonts w:ascii="Arial" w:hAnsi="Arial"/>
          <w:color w:val="000000"/>
          <w:sz w:val="20"/>
        </w:rPr>
        <w:t>18/22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CELLECTIS</w:t>
      </w:r>
    </w:p>
    <w:p>
      <w:pPr>
        <w:pStyle w:val="TextBody"/>
        <w:bidi w:val="0"/>
        <w:jc w:val="center"/>
        <w:rPr>
          <w:rFonts w:ascii="Arial" w:hAnsi="Arial"/>
          <w:b/>
          <w:color w:val="000000"/>
          <w:sz w:val="20"/>
        </w:rPr>
      </w:pPr>
      <w:r>
        <w:rPr>
          <w:rFonts w:ascii="Arial" w:hAnsi="Arial"/>
          <w:b/>
          <w:color w:val="000000"/>
          <w:sz w:val="20"/>
        </w:rPr>
        <w:t>APPENDIX TO STOCK OPTION GRANT AGREEMENT</w:t>
      </w:r>
    </w:p>
    <w:p>
      <w:pPr>
        <w:pStyle w:val="TextBody"/>
        <w:bidi w:val="0"/>
        <w:jc w:val="center"/>
        <w:rPr>
          <w:rFonts w:ascii="Arial" w:hAnsi="Arial"/>
          <w:b/>
          <w:color w:val="000000"/>
          <w:sz w:val="20"/>
        </w:rPr>
      </w:pPr>
      <w:bookmarkStart w:id="14" w:name="ole_link5"/>
      <w:bookmarkStart w:id="15" w:name="ole_link6"/>
      <w:bookmarkEnd w:id="14"/>
      <w:bookmarkEnd w:id="15"/>
      <w:r>
        <w:rPr>
          <w:rFonts w:ascii="Arial" w:hAnsi="Arial"/>
          <w:b/>
          <w:color w:val="000000"/>
          <w:sz w:val="20"/>
        </w:rPr>
        <w:t>DATA PRIVACY NOTICE</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20"/>
        </w:rPr>
        <w:t>This document constitutes a notice under the EU General Data Protection Regulation (EU 2016/679) (the “EU GDPR”), which supplements information relating to the use of the Optionee’s personal data as part of the 2026 Stock Option Plan (the “Notice”).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term “Data” as used in this Notice includes the Optionee’s name, home address and telephone number, email address,social insurance number</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passport number, salary, job title, as well as details of any shares, directorships, awards or any other equity or share rights the Optionee may hold in the Company (whether awarded, cancelled, purchased, exercised, acquired, vested, unvested, outstanding, or in the process of being acquired).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Should there be any inconsistency between the terms of this Notice and any other document relating to the Company’s use of the Optionee’s Data, then this Notice shall prevail.</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Arial" w:hAnsi="Arial"/>
          <w:b/>
          <w:color w:val="000000"/>
          <w:sz w:val="20"/>
        </w:rPr>
        <w:t>Data Controller Entity:</w:t>
      </w:r>
      <w:r>
        <w:rPr>
          <w:rFonts w:ascii="Times New Roman" w:hAnsi="Times New Roman"/>
          <w:color w:val="000000"/>
          <w:sz w:val="20"/>
        </w:rPr>
        <w:t xml:space="preserve"> </w:t>
      </w:r>
      <w:r>
        <w:rPr>
          <w:rFonts w:ascii="Arial" w:hAnsi="Arial"/>
          <w:color w:val="000000"/>
          <w:sz w:val="20"/>
        </w:rPr>
        <w:t>The Company is the Data Controller. The Company is CELLECTIS, a French societe anonyme whose registered office is located at 8 rue de la Croix Jarry, 75013 Paris and whose identification number is 428 859 052 R.C.S. Paris.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Purposes and legal basis:</w:t>
      </w:r>
      <w:r>
        <w:rPr>
          <w:rFonts w:ascii="Times New Roman" w:hAnsi="Times New Roman"/>
          <w:color w:val="000000"/>
          <w:sz w:val="20"/>
        </w:rPr>
        <w:t xml:space="preserve"> </w:t>
      </w:r>
      <w:r>
        <w:rPr>
          <w:rFonts w:ascii="Arial" w:hAnsi="Arial"/>
          <w:color w:val="000000"/>
          <w:sz w:val="20"/>
        </w:rPr>
        <w:t>The Company processes the Data for the purposes of implementing, administering and managing the Optionee’s participation in the 2026 Stock Option Plan relying, as a legal basis, on the performance of the Option Agreement entered into between the Optionee and the Company. The Company process the Data for the purposes of complying with its legal obligations relying, as legal basis, on the compliance with its legal obligations.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Data Retention:</w:t>
      </w:r>
      <w:r>
        <w:rPr>
          <w:rFonts w:ascii="Times New Roman" w:hAnsi="Times New Roman"/>
          <w:color w:val="000000"/>
          <w:sz w:val="20"/>
        </w:rPr>
        <w:t xml:space="preserve"> </w:t>
      </w:r>
      <w:r>
        <w:rPr>
          <w:rFonts w:ascii="Arial" w:hAnsi="Arial"/>
          <w:color w:val="000000"/>
          <w:sz w:val="20"/>
        </w:rPr>
        <w:t>The Data will be retained only as long as is necessary to implement, administer and manage the Optionee’s participation in the 2026 Stock Option Plan and for the Company to comply with its legal obligations. Some pieces of Data may be retained on an indefinite basis, as these records are part of the statutory records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International Transfers of Data: </w:t>
      </w:r>
      <w:r>
        <w:rPr>
          <w:rFonts w:ascii="Arial" w:hAnsi="Arial"/>
          <w:color w:val="000000"/>
          <w:sz w:val="20"/>
        </w:rPr>
        <w:t>The Company may transfer the Data to the Optionee’s employer, its affiliates or third-party service providers based outside the European Economic Area (“EEA”), in a country that has not been recognized as offering an adequate level of protection to personal data. For the purposes of transferring personal data outside the EEA, the Company has implemented appropriate safeguards to ensure the protection of Data prior to any transfer of Data. A copy of such appropriate safeguards may be obtained upon request to the human resources representative to whom the Optionee reports.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Recipients:</w:t>
      </w:r>
      <w:r>
        <w:rPr>
          <w:rFonts w:ascii="Times New Roman" w:hAnsi="Times New Roman"/>
          <w:color w:val="000000"/>
          <w:sz w:val="20"/>
        </w:rPr>
        <w:t xml:space="preserve"> </w:t>
      </w:r>
      <w:r>
        <w:rPr>
          <w:rFonts w:ascii="Arial" w:hAnsi="Arial"/>
          <w:color w:val="000000"/>
          <w:sz w:val="20"/>
        </w:rPr>
        <w:t>The Company may share Data with the employers who employ the Optionees and with third parties assisting in the implementation, administration and management of the 2026 Stock Option Plan. At the Optionee’s instruction, the Data will be shared with a broker or other third party whom the Optionee has instructed the Company to deposit shares or other securities acquired upon the vesting of any awards under the Option Agreements. Data may also be shared with the Company's information technology and human resources service providers, with its legal and professional advisers and with governmental, including taxation, authorities in other jurisdictions.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above mentioned recipients may process the Data as processors (when processing the Data on behalf and upon instructions of the Company), or as independent data controllers (when processing the Data for their own purposes, such as fulfilling their own legal obligations).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Data Subject Rights:</w:t>
      </w:r>
      <w:r>
        <w:rPr>
          <w:rFonts w:ascii="Times New Roman" w:hAnsi="Times New Roman"/>
          <w:color w:val="000000"/>
          <w:sz w:val="20"/>
        </w:rPr>
        <w:t xml:space="preserve"> </w:t>
      </w:r>
      <w:r>
        <w:rPr>
          <w:rFonts w:ascii="Arial" w:hAnsi="Arial"/>
          <w:color w:val="000000"/>
          <w:sz w:val="20"/>
        </w:rPr>
        <w:t>Optionees have a number of rights under the EU GDPR. Depending upon the circumstances, these include the right of data portability (where the Company helps a participant move Data to someone else at the Optionee’s request), the right to object to and/or the right to request the limitation of the processing of the Data, the right to require the Company to update and correct the Data, the right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19/22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require erasure of the Data, the right for the participant to obtain confirmation that his/her that Data is processed by the Company and to access said Data held by the Company, the right to require the Company to cease processing it and to have the Data processed by the Company restricted, and the right to withdraw any consent that the Optionee might have given to the Company, where applicable, with respect to the processing of his/her Data at any time with future effect. The Optionee must understand, however, that the processing of his/her Data is necessary for the performance of the 2026 Stock Option Plan and that if he/she does not provide Data, this may affect his/her ability to participate in the 2026 Stock Option Plan. For more information on the exercise of the above rights and in particular the consequences of a potential request for erasure or objection, please contact the Company using the contact details below. The Optionee also has the right to provide the Company with specific instructions for the processing of his/her Data after his/her death.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Finally, the Optionee has the right to lodge a complaint with the competent data protection supervisory authority of the EEA member state in which the Optionee is a resident.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Contact:</w:t>
      </w:r>
      <w:r>
        <w:rPr>
          <w:rFonts w:ascii="Times New Roman" w:hAnsi="Times New Roman"/>
          <w:color w:val="000000"/>
          <w:sz w:val="20"/>
        </w:rPr>
        <w:t xml:space="preserve"> </w:t>
      </w:r>
      <w:r>
        <w:rPr>
          <w:rFonts w:ascii="Arial" w:hAnsi="Arial"/>
          <w:color w:val="000000"/>
          <w:sz w:val="20"/>
        </w:rPr>
        <w:t xml:space="preserve">For any questions concerning this Notice, or to exercise any of the EU GDPR rights relating to the Data, please contact the human resources representative to whom the Optionee reporst by using the following contact details: </w:t>
      </w:r>
      <w:r>
        <w:rPr>
          <w:rFonts w:ascii="Arial" w:hAnsi="Arial"/>
          <w:b/>
          <w:color w:val="000000"/>
          <w:sz w:val="20"/>
        </w:rPr>
        <w:t>hr@cellectis.com</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CELLECTIS</w:t>
      </w:r>
      <w:r>
        <w:rPr>
          <w:rFonts w:ascii="Times New Roman" w:hAnsi="Times New Roman"/>
          <w:color w:val="000000"/>
          <w:sz w:val="20"/>
        </w:rPr>
        <w:t xml:space="preserve"> </w:t>
      </w:r>
    </w:p>
    <w:p>
      <w:pPr>
        <w:pStyle w:val="TextBody"/>
        <w:bidi w:val="0"/>
        <w:jc w:val="center"/>
        <w:rPr>
          <w:rFonts w:ascii="Arial" w:hAnsi="Arial"/>
          <w:i/>
          <w:color w:val="000000"/>
          <w:sz w:val="20"/>
        </w:rPr>
      </w:pPr>
      <w:r>
        <w:rPr>
          <w:rFonts w:ascii="Arial" w:hAnsi="Arial"/>
          <w:i/>
          <w:color w:val="000000"/>
          <w:sz w:val="20"/>
        </w:rPr>
        <w:t>Société Anonyme having a share capital of EUR.[______]</w:t>
      </w:r>
    </w:p>
    <w:p>
      <w:pPr>
        <w:pStyle w:val="TextBody"/>
        <w:bidi w:val="0"/>
        <w:jc w:val="center"/>
        <w:rPr>
          <w:rFonts w:ascii="Arial" w:hAnsi="Arial"/>
          <w:i/>
          <w:color w:val="000000"/>
          <w:sz w:val="20"/>
        </w:rPr>
      </w:pPr>
      <w:r>
        <w:rPr>
          <w:rFonts w:ascii="Arial" w:hAnsi="Arial"/>
          <w:i/>
          <w:color w:val="000000"/>
          <w:sz w:val="20"/>
        </w:rPr>
        <w:t>Registered office : [______]</w:t>
      </w:r>
    </w:p>
    <w:p>
      <w:pPr>
        <w:pStyle w:val="TextBody"/>
        <w:bidi w:val="0"/>
        <w:jc w:val="center"/>
        <w:rPr>
          <w:rFonts w:ascii="Times New Roman" w:hAnsi="Times New Roman"/>
          <w:sz w:val="20"/>
        </w:rPr>
      </w:pPr>
      <w:r>
        <w:rPr>
          <w:rFonts w:ascii="Arial" w:hAnsi="Arial"/>
          <w:i/>
          <w:color w:val="000000"/>
          <w:sz w:val="20"/>
        </w:rPr>
        <w:t>[__o__] R.C.S. [___]</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2026 STOCK OPTION PLAN</w:t>
      </w:r>
    </w:p>
    <w:p>
      <w:pPr>
        <w:pStyle w:val="TextBody"/>
        <w:bidi w:val="0"/>
        <w:jc w:val="center"/>
        <w:rPr>
          <w:rFonts w:ascii="Arial" w:hAnsi="Arial"/>
          <w:b/>
          <w:color w:val="000000"/>
          <w:sz w:val="20"/>
        </w:rPr>
      </w:pPr>
      <w:r>
        <w:rPr>
          <w:rFonts w:ascii="Arial" w:hAnsi="Arial"/>
          <w:b/>
          <w:color w:val="000000"/>
          <w:sz w:val="20"/>
        </w:rPr>
        <w:t>EXERCISE NOTICE</w:t>
      </w:r>
    </w:p>
    <w:p>
      <w:pPr>
        <w:pStyle w:val="TextBody"/>
        <w:bidi w:val="0"/>
        <w:jc w:val="center"/>
        <w:rPr>
          <w:rFonts w:ascii="Arial" w:hAnsi="Arial"/>
          <w:b/>
          <w:color w:val="000000"/>
          <w:sz w:val="20"/>
        </w:rPr>
      </w:pPr>
      <w:r>
        <w:rPr>
          <w:rFonts w:ascii="Arial" w:hAnsi="Arial"/>
          <w:b/>
          <w:color w:val="000000"/>
          <w:sz w:val="20"/>
        </w:rPr>
        <w:t>(Share subscription form)</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CELLECTIS</w:t>
      </w:r>
    </w:p>
    <w:p>
      <w:pPr>
        <w:pStyle w:val="TextBody"/>
        <w:bidi w:val="0"/>
        <w:jc w:val="left"/>
        <w:rPr>
          <w:rFonts w:ascii="Arial" w:hAnsi="Arial"/>
          <w:color w:val="000000"/>
          <w:sz w:val="20"/>
        </w:rPr>
      </w:pPr>
      <w:r>
        <w:rPr>
          <w:rFonts w:ascii="Arial" w:hAnsi="Arial"/>
          <w:color w:val="000000"/>
          <w:sz w:val="20"/>
        </w:rPr>
        <w:t>[______]</w:t>
      </w:r>
    </w:p>
    <w:p>
      <w:pPr>
        <w:pStyle w:val="TextBody"/>
        <w:bidi w:val="0"/>
        <w:jc w:val="both"/>
        <w:rPr>
          <w:rFonts w:ascii="Arial" w:hAnsi="Arial"/>
          <w:color w:val="000000"/>
          <w:sz w:val="20"/>
        </w:rPr>
      </w:pPr>
      <w:r>
        <w:rPr>
          <w:rFonts w:ascii="Arial" w:hAnsi="Arial"/>
          <w:color w:val="000000"/>
          <w:sz w:val="20"/>
        </w:rPr>
        <w:t>[______]</w:t>
      </w:r>
    </w:p>
    <w:p>
      <w:pPr>
        <w:pStyle w:val="TextBody"/>
        <w:bidi w:val="0"/>
        <w:jc w:val="left"/>
        <w:rPr>
          <w:rFonts w:ascii="Arial" w:hAnsi="Arial"/>
          <w:color w:val="000000"/>
          <w:sz w:val="20"/>
        </w:rPr>
      </w:pPr>
      <w:r>
        <w:rPr>
          <w:rFonts w:ascii="Arial" w:hAnsi="Arial"/>
          <w:color w:val="000000"/>
          <w:sz w:val="20"/>
        </w:rPr>
        <w:t>France [______________], [_]</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Attention: [___________]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1. Exercise of Options</w:t>
      </w:r>
      <w:r>
        <w:rPr>
          <w:rFonts w:ascii="Arial" w:hAnsi="Arial"/>
          <w:color w:val="000000"/>
          <w:sz w:val="20"/>
        </w:rPr>
        <w:t>. Effective as of today, __________________, __, the undersigned (the "Optionee") hereby elects to subscribe _______________ (_____) ordinary shares (the "Shares") of the Share Capital of CELLECTIS (the "Company") under and pursuant to the Company's 2025 Stock Option Plan (the "Plan") adopted by the board on [August 6, 2026] and the Stock Option Agreement dated ___________, __ (the "Option Agreement"). The subscription price for the Shares shall be EUR. ______, as required by the Option Agreement.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2. Delivery of Payment</w:t>
      </w:r>
      <w:r>
        <w:rPr>
          <w:rFonts w:ascii="Arial" w:hAnsi="Arial"/>
          <w:color w:val="000000"/>
          <w:sz w:val="20"/>
        </w:rPr>
        <w:t>. The Optionee</w:t>
      </w:r>
      <w:r>
        <w:rPr>
          <w:rFonts w:ascii="Times New Roman" w:hAnsi="Times New Roman"/>
          <w:color w:val="000000"/>
          <w:sz w:val="20"/>
        </w:rPr>
        <w:t xml:space="preserve"> </w:t>
      </w:r>
      <w:r>
        <w:rPr>
          <w:rFonts w:ascii="Arial" w:hAnsi="Arial"/>
          <w:color w:val="000000"/>
          <w:sz w:val="20"/>
        </w:rPr>
        <w:t>herewith delivers to the Company the full subscription price for the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3. Representations of Optionee</w:t>
      </w:r>
      <w:r>
        <w:rPr>
          <w:rFonts w:ascii="Arial" w:hAnsi="Arial"/>
          <w:color w:val="000000"/>
          <w:sz w:val="20"/>
        </w:rPr>
        <w:t>. The Optionee acknowledges that the Optionee has received, read and understood the Plan and the Option Agreement and agrees to abide by and be bound by their terms and conditions.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4. Rights as Shareholder</w:t>
      </w:r>
      <w:r>
        <w:rPr>
          <w:rFonts w:ascii="Arial" w:hAnsi="Arial"/>
          <w:color w:val="000000"/>
          <w:sz w:val="20"/>
        </w:rPr>
        <w:t>. Until the issuance (as evidenced by the appropriate entry on the books of the Company) of the Shares, the Optionee shall have, as an Optionee, no right to vote or receive dividends or any other rights as a shareholder shall exist with respect to the Optioned Stock, except those the Optionee may have as a shareholder of the Company. No adjustment will be made for rights in respect of which the record date is prior to the issuance date for the Shares, except as provided in Section 11 of the Plan.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5. Tax consultation</w:t>
      </w:r>
      <w:r>
        <w:rPr>
          <w:rFonts w:ascii="Arial" w:hAnsi="Arial"/>
          <w:color w:val="000000"/>
          <w:sz w:val="20"/>
        </w:rPr>
        <w:t>. The Optionee understands that the Optionee may suffer adverse tax consequences as a result of the Optionee's subscription or disposition of the Shares. The Optionee represents that Optionee has consulted with any tax consultants the Optionee deems advisable in connection with the subscription or disposition of the Shares. The Optionee is not relying on the Company for any tax advice.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6. Entire Agreement - Governing Law</w:t>
      </w:r>
      <w:r>
        <w:rPr>
          <w:rFonts w:ascii="Arial" w:hAnsi="Arial"/>
          <w:color w:val="000000"/>
          <w:sz w:val="20"/>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 This agreement is governed by the laws of the Republic of France.</w:t>
      </w:r>
      <w:r>
        <w:rPr>
          <w:rFonts w:ascii="Times New Roman" w:hAnsi="Times New Roman"/>
          <w:color w:val="000000"/>
          <w:sz w:val="20"/>
        </w:rPr>
        <w:t xml:space="preserve"> </w:t>
      </w:r>
    </w:p>
    <w:p>
      <w:pPr>
        <w:pStyle w:val="TextBody"/>
        <w:bidi w:val="0"/>
        <w:spacing w:before="0" w:after="264"/>
        <w:jc w:val="both"/>
        <w:rPr/>
      </w:pPr>
      <w:r>
        <w:rPr/>
        <w:t> </w:t>
      </w:r>
    </w:p>
    <w:p>
      <w:pPr>
        <w:pStyle w:val="TextBody"/>
        <w:bidi w:val="0"/>
        <w:jc w:val="center"/>
        <w:rPr>
          <w:rFonts w:ascii="Arial" w:hAnsi="Arial"/>
          <w:color w:val="000000"/>
          <w:sz w:val="20"/>
        </w:rPr>
      </w:pPr>
      <w:r>
        <w:rPr>
          <w:rFonts w:ascii="Arial" w:hAnsi="Arial"/>
          <w:color w:val="000000"/>
          <w:sz w:val="20"/>
        </w:rPr>
        <w:t>21/22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 *</w:t>
      </w:r>
    </w:p>
    <w:p>
      <w:pPr>
        <w:pStyle w:val="TextBody"/>
        <w:bidi w:val="0"/>
        <w:jc w:val="both"/>
        <w:rPr/>
      </w:pPr>
      <w:r>
        <w:rPr/>
        <w:t> </w:t>
      </w:r>
    </w:p>
    <w:p>
      <w:pPr>
        <w:pStyle w:val="TextBody"/>
        <w:bidi w:val="0"/>
        <w:jc w:val="center"/>
        <w:rPr>
          <w:rFonts w:ascii="Arial" w:hAnsi="Arial"/>
          <w:i/>
          <w:color w:val="000000"/>
          <w:sz w:val="20"/>
        </w:rPr>
      </w:pPr>
      <w:r>
        <w:rPr>
          <w:rFonts w:ascii="Arial" w:hAnsi="Arial"/>
          <w:i/>
          <w:color w:val="000000"/>
          <w:sz w:val="20"/>
        </w:rPr>
        <w:t>This Exercise notice is delivered in two originals copies, one of which shall be returned</w:t>
      </w:r>
    </w:p>
    <w:p>
      <w:pPr>
        <w:pStyle w:val="TextBody"/>
        <w:bidi w:val="0"/>
        <w:jc w:val="center"/>
        <w:rPr>
          <w:rFonts w:ascii="Arial" w:hAnsi="Arial"/>
          <w:i/>
          <w:color w:val="000000"/>
          <w:sz w:val="20"/>
        </w:rPr>
      </w:pPr>
      <w:r>
        <w:rPr>
          <w:rFonts w:ascii="Arial" w:hAnsi="Arial"/>
          <w:i/>
          <w:color w:val="000000"/>
          <w:sz w:val="20"/>
        </w:rPr>
        <w:t>to the Optionee.</w:t>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Submitted by: Accepted by:</w:t>
      </w:r>
    </w:p>
    <w:p>
      <w:pPr>
        <w:pStyle w:val="TextBody"/>
        <w:bidi w:val="0"/>
        <w:jc w:val="both"/>
        <w:rPr>
          <w:rFonts w:ascii="Times New Roman" w:hAnsi="Times New Roman"/>
          <w:sz w:val="20"/>
        </w:rPr>
      </w:pPr>
      <w:r>
        <w:rPr>
          <w:rFonts w:ascii="Arial" w:hAnsi="Arial"/>
          <w:color w:val="000000"/>
          <w:sz w:val="20"/>
        </w:rPr>
        <w:t xml:space="preserve">OPTIONEE </w:t>
      </w:r>
      <w:r>
        <w:rPr>
          <w:rFonts w:ascii="Arial" w:hAnsi="Arial"/>
          <w:color w:val="000000"/>
          <w:sz w:val="13"/>
        </w:rPr>
        <w:t>6)</w:t>
      </w:r>
      <w:r>
        <w:rPr>
          <w:rFonts w:ascii="Times New Roman" w:hAnsi="Times New Roman"/>
          <w:color w:val="000000"/>
          <w:sz w:val="20"/>
        </w:rPr>
        <w:t xml:space="preserve"> </w:t>
      </w:r>
      <w:r>
        <w:rPr>
          <w:rFonts w:ascii="Arial" w:hAnsi="Arial"/>
          <w:color w:val="000000"/>
          <w:sz w:val="20"/>
        </w:rPr>
        <w:t>CELLECTIS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__________________________ _______________________</w:t>
      </w:r>
    </w:p>
    <w:p>
      <w:pPr>
        <w:pStyle w:val="TextBody"/>
        <w:bidi w:val="0"/>
        <w:jc w:val="both"/>
        <w:rPr>
          <w:rFonts w:ascii="Arial" w:hAnsi="Arial"/>
          <w:color w:val="000000"/>
          <w:sz w:val="20"/>
        </w:rPr>
      </w:pPr>
      <w:r>
        <w:rPr>
          <w:rFonts w:ascii="Arial" w:hAnsi="Arial"/>
          <w:color w:val="000000"/>
          <w:sz w:val="20"/>
        </w:rPr>
        <w:t>Signature Signature</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__________________________ Its:____________________</w:t>
      </w:r>
    </w:p>
    <w:p>
      <w:pPr>
        <w:pStyle w:val="TextBody"/>
        <w:bidi w:val="0"/>
        <w:jc w:val="both"/>
        <w:rPr>
          <w:rFonts w:ascii="Arial" w:hAnsi="Arial"/>
          <w:color w:val="000000"/>
          <w:sz w:val="20"/>
        </w:rPr>
      </w:pPr>
      <w:r>
        <w:rPr>
          <w:rFonts w:ascii="Arial" w:hAnsi="Arial"/>
          <w:color w:val="000000"/>
          <w:sz w:val="20"/>
        </w:rPr>
        <w:t>Print Name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Address</w:t>
      </w:r>
      <w:r>
        <w:rPr>
          <w:rFonts w:ascii="Arial" w:hAnsi="Arial"/>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__________________________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The signature of the Optionee must be preceded by the following manuscript mention </w:t>
      </w:r>
      <w:r>
        <w:rPr>
          <w:rFonts w:ascii="Times New Roman" w:hAnsi="Times New Roman"/>
          <w:i/>
          <w:color w:val="000000"/>
          <w:sz w:val="18"/>
        </w:rPr>
        <w:t>"accepted for formal and irrevocable subscription of [__________] ordinary Shares"</w:t>
      </w:r>
      <w:r>
        <w:rPr>
          <w:rFonts w:ascii="Times New Roman" w:hAnsi="Times New Roman"/>
          <w:color w:val="000000"/>
          <w:sz w:val="18"/>
        </w:rPr>
        <w:t>.</w:t>
      </w:r>
    </w:p>
    <w:p>
      <w:pPr>
        <w:pStyle w:val="TextBody"/>
        <w:bidi w:val="0"/>
        <w:jc w:val="center"/>
        <w:rPr>
          <w:rFonts w:ascii="Arial" w:hAnsi="Arial"/>
          <w:color w:val="000000"/>
          <w:sz w:val="20"/>
        </w:rPr>
      </w:pPr>
      <w:r>
        <w:rPr>
          <w:rFonts w:ascii="Arial" w:hAnsi="Arial"/>
          <w:color w:val="000000"/>
          <w:sz w:val="20"/>
        </w:rPr>
        <w:t>22/22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6" w:name="clls-ex99_2.htm"/>
      <w:bookmarkStart w:id="17" w:name="kscllsex99_2"/>
      <w:bookmarkEnd w:id="16"/>
      <w:bookmarkEnd w:id="17"/>
      <w:r>
        <w:rPr/>
        <w:t> </w:t>
      </w:r>
      <w:r>
        <w:br w:type="page"/>
      </w:r>
    </w:p>
    <w:p>
      <w:pPr>
        <w:pStyle w:val="TextBody"/>
        <w:bidi w:val="0"/>
        <w:jc w:val="right"/>
        <w:rPr>
          <w:rFonts w:ascii="Times New Roman" w:hAnsi="Times New Roman"/>
          <w:sz w:val="20"/>
        </w:rPr>
      </w:pPr>
      <w:r>
        <w:rPr>
          <w:rFonts w:ascii="Arial" w:hAnsi="Arial"/>
          <w:b/>
          <w:color w:val="000000"/>
          <w:sz w:val="20"/>
        </w:rPr>
        <w:t>Exhibit 99.2</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drawing>
          <wp:inline distT="0" distB="0" distL="0" distR="0">
            <wp:extent cx="2790825" cy="1114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790825" cy="1114425"/>
                    </a:xfrm>
                    <a:prstGeom prst="rect">
                      <a:avLst/>
                    </a:prstGeom>
                  </pic:spPr>
                </pic:pic>
              </a:graphicData>
            </a:graphic>
          </wp:inline>
        </w:drawing>
      </w:r>
    </w:p>
    <w:p>
      <w:pPr>
        <w:pStyle w:val="TextBody"/>
        <w:bidi w:val="0"/>
        <w:jc w:val="both"/>
        <w:rPr/>
      </w:pPr>
      <w:r>
        <w:rPr/>
        <w:t> </w:t>
      </w:r>
    </w:p>
    <w:p>
      <w:pPr>
        <w:pStyle w:val="TextBody"/>
        <w:bidi w:val="0"/>
        <w:jc w:val="both"/>
        <w:rPr/>
      </w:pPr>
      <w:r>
        <w:rPr/>
        <w:t> </w:t>
      </w:r>
    </w:p>
    <w:p>
      <w:pPr>
        <w:pStyle w:val="TextBody"/>
        <w:pBdr>
          <w:top w:val="single" w:sz="4" w:space="15" w:color="000000"/>
        </w:pBdr>
        <w:bidi w:val="0"/>
        <w:jc w:val="center"/>
        <w:rPr>
          <w:rFonts w:ascii="Times New Roman" w:hAnsi="Times New Roman"/>
          <w:sz w:val="20"/>
        </w:rPr>
      </w:pPr>
      <w:r>
        <w:rPr>
          <w:rFonts w:ascii="Arial" w:hAnsi="Arial"/>
          <w:b/>
          <w:smallCaps/>
          <w:color w:val="000000"/>
          <w:sz w:val="20"/>
        </w:rPr>
        <w:t>CELLECTIS</w:t>
      </w:r>
      <w:r>
        <w:rPr>
          <w:rFonts w:ascii="Times New Roman" w:hAnsi="Times New Roman"/>
          <w:smallCaps/>
          <w:color w:val="000000"/>
          <w:sz w:val="20"/>
        </w:rPr>
        <w:t xml:space="preserve"> </w:t>
      </w:r>
    </w:p>
    <w:p>
      <w:pPr>
        <w:pStyle w:val="TextBody"/>
        <w:bidi w:val="0"/>
        <w:jc w:val="center"/>
        <w:rPr/>
      </w:pPr>
      <w:r>
        <w:rPr/>
        <w:t> </w:t>
      </w:r>
    </w:p>
    <w:p>
      <w:pPr>
        <w:pStyle w:val="TextBody"/>
        <w:pBdr>
          <w:bottom w:val="single" w:sz="4" w:space="15" w:color="000000"/>
        </w:pBdr>
        <w:bidi w:val="0"/>
        <w:jc w:val="center"/>
        <w:rPr>
          <w:rFonts w:ascii="Arial" w:hAnsi="Arial"/>
          <w:b/>
          <w:smallCaps/>
          <w:color w:val="000000"/>
          <w:sz w:val="20"/>
        </w:rPr>
      </w:pPr>
      <w:r>
        <w:rPr>
          <w:rFonts w:ascii="Arial" w:hAnsi="Arial"/>
          <w:b/>
          <w:smallCaps/>
          <w:color w:val="000000"/>
          <w:sz w:val="20"/>
        </w:rPr>
        <w:t>2026 Free Shares Plan</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Approved by the Board of Directors on August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1. Implementation of the free shares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Pursuant to decisions dated June 25, 2026 the shareholders’ general meeting of Cellectis, a French </w:t>
      </w:r>
      <w:r>
        <w:rPr>
          <w:rFonts w:ascii="Arial" w:hAnsi="Arial"/>
          <w:i/>
          <w:color w:val="000000"/>
          <w:sz w:val="20"/>
        </w:rPr>
        <w:t>société anonyme</w:t>
      </w:r>
      <w:r>
        <w:rPr>
          <w:rFonts w:ascii="Times New Roman" w:hAnsi="Times New Roman"/>
          <w:color w:val="000000"/>
          <w:sz w:val="20"/>
        </w:rPr>
        <w:t xml:space="preserve"> </w:t>
      </w:r>
      <w:r>
        <w:rPr>
          <w:rFonts w:ascii="Arial" w:hAnsi="Arial"/>
          <w:color w:val="000000"/>
          <w:sz w:val="20"/>
        </w:rPr>
        <w:t>whose registered office is located at 8 rue de la Croix Jarry, 75013 Paris and whose identification number is 428 859 052 R.C.S. Paris (hereafter referred to as the "</w:t>
      </w:r>
      <w:r>
        <w:rPr>
          <w:rFonts w:ascii="Arial" w:hAnsi="Arial"/>
          <w:b/>
          <w:i/>
          <w:color w:val="000000"/>
          <w:sz w:val="20"/>
        </w:rPr>
        <w:t>Company</w:t>
      </w:r>
      <w:r>
        <w:rPr>
          <w:rFonts w:ascii="Arial" w:hAnsi="Arial"/>
          <w:color w:val="000000"/>
          <w:sz w:val="20"/>
        </w:rPr>
        <w:t>") authorized the Board of Directors to allocate free shares of the Company to the benefit of employees of the Company or to certain categories of such employees, and/or to the benefit of its corporate officers who meet the conditions set forth by Article L. 225-197-1 II of the French commercial code, as well as to the benefit of employees of companies or economic interest groups whose share capital or voting rights are held, directly or indirectly, for more than ten per cent (10%) by the Company at the date of allocation of said shares (the “</w:t>
      </w:r>
      <w:r>
        <w:rPr>
          <w:rFonts w:ascii="Arial" w:hAnsi="Arial"/>
          <w:b/>
          <w:i/>
          <w:color w:val="000000"/>
          <w:sz w:val="20"/>
        </w:rPr>
        <w:t>Shareholders’ Authorization</w:t>
      </w:r>
      <w:r>
        <w:rPr>
          <w:rFonts w:ascii="Times New Roman" w:hAnsi="Times New Roman"/>
          <w:color w:val="000000"/>
          <w:sz w:val="20"/>
        </w:rPr>
        <w:t>”</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August 6, 2026, the Board of Directors, acting upon such Shareholders’ Authorization, approved the present free shares plan stating the conditions and criteria for the allocation of such shares (hereafter referred to as the "</w:t>
      </w:r>
      <w:r>
        <w:rPr>
          <w:rFonts w:ascii="Arial" w:hAnsi="Arial"/>
          <w:b/>
          <w:i/>
          <w:color w:val="000000"/>
          <w:sz w:val="20"/>
        </w:rPr>
        <w:t>2026 Free Shares Plan</w:t>
      </w:r>
      <w:r>
        <w:rPr>
          <w:rFonts w:ascii="Times New Roman" w:hAnsi="Times New Roman"/>
          <w:color w:val="000000"/>
          <w:sz w:val="20"/>
        </w:rPr>
        <w:t>”</w:t>
      </w:r>
      <w:r>
        <w:rPr>
          <w:rFonts w:ascii="Arial" w:hAnsi="Arial"/>
          <w:color w:val="000000"/>
          <w:sz w:val="20"/>
        </w:rPr>
        <w:t>). The 2026 Free Shares Plan provides for the allocation of up to a total of 4,023,640 free shares of the Company to the benefit of eligible employees and officers.</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2. Definitions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Under the present 2026 Free Shares Plan, the following terms and expressions starting with a capital letter shall have the following meaning and may be used indifferently in the singular or in the plural form: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95"/>
        <w:gridCol w:w="8610"/>
      </w:tblGrid>
      <w:tr>
        <w:trPr/>
        <w:tc>
          <w:tcPr>
            <w:tcW w:w="1595" w:type="dxa"/>
            <w:tcBorders/>
            <w:vAlign w:val="center"/>
          </w:tcPr>
          <w:p>
            <w:pPr>
              <w:pStyle w:val="TableContents"/>
              <w:bidi w:val="0"/>
              <w:spacing w:before="0" w:after="283"/>
              <w:jc w:val="left"/>
              <w:rPr>
                <w:sz w:val="4"/>
                <w:szCs w:val="4"/>
              </w:rPr>
            </w:pPr>
            <w:r>
              <w:rPr>
                <w:sz w:val="4"/>
                <w:szCs w:val="4"/>
              </w:rPr>
            </w:r>
          </w:p>
        </w:tc>
        <w:tc>
          <w:tcPr>
            <w:tcW w:w="8610" w:type="dxa"/>
            <w:tcBorders/>
            <w:vAlign w:val="center"/>
          </w:tcPr>
          <w:p>
            <w:pPr>
              <w:pStyle w:val="TableContents"/>
              <w:bidi w:val="0"/>
              <w:spacing w:before="0" w:after="283"/>
              <w:jc w:val="left"/>
              <w:rPr>
                <w:sz w:val="4"/>
                <w:szCs w:val="4"/>
              </w:rPr>
            </w:pPr>
            <w:r>
              <w:rPr>
                <w:sz w:val="4"/>
                <w:szCs w:val="4"/>
              </w:rPr>
            </w:r>
          </w:p>
        </w:tc>
      </w:tr>
      <w:tr>
        <w:trPr/>
        <w:tc>
          <w:tcPr>
            <w:tcW w:w="1595"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"Acquisition Date"</w:t>
            </w:r>
          </w:p>
          <w:p>
            <w:pPr>
              <w:pStyle w:val="TableContents"/>
              <w:bidi w:val="0"/>
              <w:spacing w:before="0" w:after="283"/>
              <w:jc w:val="left"/>
              <w:rPr/>
            </w:pPr>
            <w:r>
              <w:rPr/>
              <w:t> </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date when the free Shares have been definitely acquired by the relevant Beneficiary;</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"Acquisition Period"</w:t>
            </w:r>
            <w:r>
              <w:rPr>
                <w:rFonts w:ascii="Times New Roman" w:hAnsi="Times New Roman"/>
                <w:color w:val="000000"/>
                <w:sz w:val="20"/>
              </w:rPr>
              <w:t xml:space="preserve"> </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period of at least three (3) years, starting on the Allocation Date and ending on the Acquisition Date;</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"Allocation"</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decision of the Board of Directors on the Allocation Date to allocate free Shares to a given Beneficiary. This Allocation constitutes a right to be granted Shares at the end of the Acquisition Period subject to the compliance with the conditions and criteria set forth by the present 2026 Free Shares Plan;</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"Allocation Date"</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date on which the Board of Directors allocates free Shares to a given Beneficiary. This Allocation will constitute a right to be granted Shares at the end of the Acquisition Period subject to the compliance with the conditions and criteria set forth by the present 2026 Free Shares Plan;</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"Allocation Letter"</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letter which informs a given Beneficiary of the allocation of free Shares, as stated in Article 5 of the 2026 Free Shares Plan;</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"Beneficiaries"</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person(s) for whose benefit the Board of Directors decided an Allocation of Shares as well as, as the case may be, his or her heirs;</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"Board of Directors"</w:t>
            </w:r>
          </w:p>
        </w:tc>
        <w:tc>
          <w:tcPr>
            <w:tcW w:w="8610"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color w:val="000000"/>
                <w:sz w:val="20"/>
              </w:rPr>
              <w:t>refers to the board of directors (</w:t>
            </w:r>
            <w:r>
              <w:rPr>
                <w:rFonts w:ascii="Arial" w:hAnsi="Arial"/>
                <w:i/>
                <w:color w:val="000000"/>
                <w:sz w:val="20"/>
              </w:rPr>
              <w:t>conseil d’administration</w:t>
            </w:r>
            <w:r>
              <w:rPr>
                <w:rFonts w:ascii="Arial" w:hAnsi="Arial"/>
                <w:color w:val="000000"/>
                <w:sz w:val="20"/>
              </w:rPr>
              <w:t>) of the Company;</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"Bylaws"</w:t>
            </w:r>
          </w:p>
        </w:tc>
        <w:tc>
          <w:tcPr>
            <w:tcW w:w="8610"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bylaws of the Company in force at the date referred to;</w:t>
            </w:r>
          </w:p>
          <w:p>
            <w:pPr>
              <w:pStyle w:val="TableContents"/>
              <w:bidi w:val="0"/>
              <w:spacing w:before="0" w:after="283"/>
              <w:jc w:val="both"/>
              <w:rPr/>
            </w:pPr>
            <w:r>
              <w:rPr/>
              <w:t> </w:t>
            </w:r>
          </w:p>
        </w:tc>
      </w:tr>
      <w:tr>
        <w:trPr/>
        <w:tc>
          <w:tcPr>
            <w:tcW w:w="15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Arial" w:hAnsi="Arial"/>
                <w:b/>
                <w:color w:val="000000"/>
                <w:sz w:val="20"/>
              </w:rPr>
              <w:t>Clawback Policy”</w:t>
            </w:r>
          </w:p>
        </w:tc>
        <w:tc>
          <w:tcPr>
            <w:tcW w:w="86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refers to the Company’s Compensation Recoupment Policy and any other standalone recoupment or clawback policy established by the Company as may be in effect from time to time, including, as applicable, a policy established pursuant to Section 10D of the U.S. Securities Exchange Act of</w:t>
            </w:r>
            <w:r>
              <w:rPr>
                <w:rFonts w:ascii="Times New Roman" w:hAnsi="Times New Roman"/>
                <w:color w:val="000000"/>
                <w:sz w:val="20"/>
              </w:rPr>
              <w:t xml:space="preserve"> </w:t>
            </w:r>
          </w:p>
        </w:tc>
      </w:tr>
    </w:tbl>
    <w:p>
      <w:pPr>
        <w:pStyle w:val="TextBody"/>
        <w:bidi w:val="0"/>
        <w:jc w:val="center"/>
        <w:rPr>
          <w:rFonts w:ascii="Arial" w:hAnsi="Arial"/>
          <w:color w:val="000000"/>
          <w:sz w:val="20"/>
        </w:rPr>
      </w:pPr>
      <w:r>
        <w:rPr>
          <w:rFonts w:ascii="Arial" w:hAnsi="Arial"/>
          <w:color w:val="000000"/>
          <w:sz w:val="20"/>
        </w:rPr>
        <w:t>2/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82"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color w:val="000000"/>
                <w:sz w:val="20"/>
              </w:rPr>
              <w:t>1934 and any applicable rules or regulations promulgated by the U.S. Securities and Exchange Commission or any national exchange of national securities association on which the shares of the Company may be traded.</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"Disability"</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(i) for French Beneficiaries, the disability of a Beneficiary corresponding to the second or third of the categories provided by Article L. 341-4 of the French social security code, or (ii) for U.S. Beneficiaries, disability as defined under U.S. Internal Revenue Code Section 409A(a)(2)(C)(i);</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"Group"</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Company and to all the companies and groups related to the Company in the meaning of Article L. 225-197-2 of the French commercial code;</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Arial" w:hAnsi="Arial"/>
                <w:b/>
                <w:color w:val="000000"/>
                <w:sz w:val="20"/>
              </w:rPr>
              <w:t>Holding Period”</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period starting on the Acquisition Date during which the free Shares cannot be transferred and at least equal to two (2) years from the Allocation Date (or such other minimum period stipulated under French law), as decided by the Board of Directors, being specified no Holding Period will be applicable to the Beneficiaries for whom the duration of the Acquisition Period is at least equal to this minimum period;</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"Presence"</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presence of the Beneficiary in his or her capacity of employee and/or corporate officer of the Company or of any of the companies of the Group;</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shares issued or which will be issued by the Company in representation of its share capital; and</w:t>
            </w:r>
          </w:p>
          <w:p>
            <w:pPr>
              <w:pStyle w:val="TableContents"/>
              <w:bidi w:val="0"/>
              <w:spacing w:before="0" w:after="283"/>
              <w:jc w:val="both"/>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"Trading Day"</w:t>
            </w:r>
          </w:p>
        </w:tc>
        <w:tc>
          <w:tcPr>
            <w:tcW w:w="8982"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refers to the working days when Euronext proceeds to the listing of shares on the Euronext Growth market of Euronext in Paris other than days when the listings end prior to the usual closing hour.</w:t>
            </w:r>
          </w:p>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3. Purpose</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The purpose of the 2026 Free Shares Plan is to set forth the conditions and criteria for the allocation of free Shares under the 2026 Free Shares Plan, pursuant to Articles L. 225-197-1 </w:t>
      </w:r>
      <w:r>
        <w:rPr>
          <w:rFonts w:ascii="Arial" w:hAnsi="Arial"/>
          <w:i/>
          <w:color w:val="000000"/>
          <w:sz w:val="20"/>
        </w:rPr>
        <w:t>et seq.</w:t>
      </w:r>
      <w:r>
        <w:rPr>
          <w:rFonts w:ascii="Times New Roman" w:hAnsi="Times New Roman"/>
          <w:color w:val="000000"/>
          <w:sz w:val="20"/>
        </w:rPr>
        <w:t xml:space="preserve"> </w:t>
      </w:r>
      <w:r>
        <w:rPr>
          <w:rFonts w:ascii="Arial" w:hAnsi="Arial"/>
          <w:color w:val="000000"/>
          <w:sz w:val="20"/>
        </w:rPr>
        <w:t>of the French commercial code and pursuant to the authorization granted by the Company’s shareholders at their general meeting dated June 25, 2026 (the “</w:t>
      </w:r>
      <w:r>
        <w:rPr>
          <w:rFonts w:ascii="Arial" w:hAnsi="Arial"/>
          <w:b/>
          <w:i/>
          <w:color w:val="000000"/>
          <w:sz w:val="20"/>
        </w:rPr>
        <w:t>Shareholders’ Authorization</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4. Beneficiaries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Pursuant to the Shareholders’ Authorization, the Board of Directors approves the list of Beneficiaries among eligible officers and employees, together with the indication of the number of free Shares allocated to each of them.</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sz w:val="20"/>
        </w:rPr>
      </w:pPr>
      <w:r>
        <w:rPr>
          <w:rFonts w:ascii="Arial" w:hAnsi="Arial"/>
          <w:b/>
          <w:smallCaps/>
          <w:color w:val="000000"/>
          <w:sz w:val="20"/>
          <w:u w:val="single"/>
        </w:rPr>
        <w:t>5. Notice of the Allocation of the Shares</w:t>
      </w:r>
      <w:r>
        <w:rPr>
          <w:rFonts w:ascii="Times New Roman" w:hAnsi="Times New Roman"/>
          <w:smallCaps/>
          <w:color w:val="000000"/>
          <w:sz w:val="20"/>
        </w:rPr>
        <w:t xml:space="preserv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notice of the Allocation of Shares to the Beneficiaries shall be made pursuant to an Allocation Letter sent by the Board of Directors or by any other person selected by the Board of Directors, by registered mail with acknowledgement of receipt or delivered in person with acknowledgement of receipt, or by any other electronic means as might be agreed by the Company, together with a copy of the present 2026 Free Shares Plan, indicating the number of Shares allocated to the relevant Beneficiary, the Acquisition Period and, if any, the Holding Period (including, in each case, any terms specific to such Beneficiary).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Beneficiary shall acknowledge receipt of the Allocation Letter and of the 2026 Free Shares Plan either (a) by sending signed copies of these documents to the Company, or (b) through any electronic means as might be agreed by the Company, within two (2) months from the date of receipt, the documents being deemed to be received on the first date of presentation, in the absence of which the Allocation shall be null and void for this Beneficiary.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fact that a person may benefit from the 2026 Free Shares Plan does not imply that he or she shall benefit from any other plan that may be implemented thereafter.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6. Acquisition period</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6.1. Principle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free Shares allocated under the 2026 Free Shares Plan shall be definitively acquired by the Beneficiaries at the end of the Acquisition Period, provided that the following conditions precedent are met: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continued Presence of the Beneficiary during the Acquisition Period, in the absence of which he or she will not be entitled to acquire Shares on the date when this condition is no longer met;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for corporate officers, executive managers and members of the executive committee of the Company, the completion of the performance conditions set forth in the Allocation Letter of the relevant Beneficiary (i.e., 1/3 if the Company reaches a certain level of cash position, 1/3 if a clinical and/or regulatory target is met and 1/3 if a manufacturing target is met);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being specified that the Board of Directors shall be entitled, to the extent permitted by, and in accordance with, applicable laws: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to release a given Beneficiary from the continued Presence of the Beneficiary condition set forth above for all or part of the Shares granted,</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 to provide, in the event of a change of control of the Company, for an acceleration of the Acquisition Period and the Holding Period, if any, in whole or in part, provided always that free Shares may not be disposed of before the second anniversary of their Allocation Date in accordance with mandatory French law, and</w:t>
      </w:r>
    </w:p>
    <w:p>
      <w:pPr>
        <w:pStyle w:val="TextBody"/>
        <w:bidi w:val="0"/>
        <w:jc w:val="both"/>
        <w:rPr>
          <w:rFonts w:ascii="Times New Roman" w:hAnsi="Times New Roman"/>
          <w:sz w:val="20"/>
        </w:rPr>
      </w:pPr>
      <w:r>
        <w:rPr>
          <w:rFonts w:ascii="Arial" w:hAnsi="Arial"/>
          <w:color w:val="000000"/>
          <w:sz w:val="20"/>
        </w:rPr>
        <w:t>- to enforce any applicable Clawback Policy, including, without limitation, and within the limits set forth in any such Clawback Policy, to recoup any right to acquire free Shares allocated under the 2026 Free Shares Plan, to recover any free Shares definitively acquired by any Beneficiary under the 2026 Free Shares Plan, or to recover any proceeds received by any such Beneficiary from the sale of any Shares definitively acquired by any Beneficiary under the 2026 Free Shares Plan.</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Further, should the Beneficiary be at the same time an employee and a corporate officer of the same company or of two companies of the Group, the loss of one of these capacities shall not result in the loss of the right to acquire the free Shares allocated under the 2026 Free Shares Plan at the end of the Acquisition Period.</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4/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Pursuant to Article L. 225-197-3 of the French commercial code, the Beneficiaries hold a claim against the Company which is personal and may not be transferred until the end of the Acquisition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During the Acquisition Period, the Beneficiaries will not own the free Shares and will not be shareholders of the Company. As a consequence, they will not hold any rights attached to the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6.2 Internal mobility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 the event of transfer or temporary assignment of the Beneficiary within a company of the Group, implying (a) the termination of the initial employment agreement and the entering into of a new employment agreement or of a position as corporate officer, and/or (b) a resignation of the Beneficiary from his or her position as corporate officer and the acceptance of a new position of corporate officer or the entering into of a new employment agreement in one of such companies, the Beneficiary shall retain his or her right to be allocated free Shares at the end of the Acquisition Period.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6.3 Disability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Disability before the end of the Acquisition Period, the free Shares shall be definitively acquired by the Beneficiary on the date of Disability.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For participants subject to tax in the U.S., the free Shares shall be delivered to the Beneficiary on the 30</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day following the date a Disability is incurred. For avoidance of doubt, no Holding Period will apply to the free Shares delivered under this provision.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6.4 Death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event of death of the Beneficiary during the Acquisition Period, the free Shares shall be definitively acquired at the date of the request of allocation made by his or her beneficiaries in the framework of the inheritance.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request for allocation of the Shares shall be made within six (6) months from the date of the death in compliance with Article L. 225-197-3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For participants subject to tax in the U.S., the free Shares shall be definitively acquired within thirty (30) days following the date of death. For avoidance of doubt, no Holding Period will apply to the free Shares delivered under this provision.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6.5 Retirement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the event of the retirement of a given Beneficiary during the Acquisition Period, the Board of Directors may decide that the condition set forth in article 6.1 above shall be deemed to be met for all or part of the Shares granted upon the date of such retirement.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7. Holding Period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7.1 Principle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During the Holding Period, if any, the Beneficiaries concerned will be the owner of the free Shares allocated under the 2026 Free Shares Plan and will be shareholders of the Company. As a consequence, they will benefit from all the rights attached to the capacity of a shareholder of the Company.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However, the free Shares shall not be available during the Holding Period, if any, and the Beneficiaries may not transfer or pledge the Shares, by any means, or convert them into the bearer form.</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5/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At the end of the Holding Period, if any, the Shares will be fully available, subject to the provisions of the following paragraph.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At the end of the Holding Period, if the Company’s shares are listed on a regulated market, the free Shares allocated under the 2026 Free Shares Plan may not be transferred during the “black-out” periods set forth in Article L. 225-197-1 of the French commercial code and the Company’s internal insider trading policy, i.e., as currently provided: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 xml:space="preserve">- </w:t>
      </w:r>
      <w:r>
        <w:rPr>
          <w:rFonts w:ascii="Arial" w:hAnsi="Arial"/>
          <w:color w:val="000000"/>
          <w:sz w:val="20"/>
        </w:rPr>
        <w:t>within thirty (30) calendar days prior to, and 3 days following, the announcement of an interim financial report or of the annual financial report that the Company is required to publish; and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 xml:space="preserve">- </w:t>
      </w:r>
      <w:r>
        <w:rPr>
          <w:rFonts w:ascii="Arial" w:hAnsi="Arial"/>
          <w:color w:val="000000"/>
          <w:sz w:val="20"/>
        </w:rPr>
        <w:t>by the members of the Board of Directors, the chief executive officer and the deputy chief executives officers and by the employees having knowledge of insider information, within the meaning of Article 7 of the Regulation (EU) No. 596/2014 of the European Parliament and of the Council of April 16, 2014 on market abuse (Market Abuse Regulation) and repealing Directive 2003/6/ EC of the European Parliament and of the Council and Commission Directives 2003/124/ EC, 2003/125/ EC and 2004/72/ EC, which has not been made public.</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7.2 Specific situations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Notwithstanding the provisions of the second paragraph of Article 7.1 above, the free Shares allocated to the Beneficiaries referred to at Article 6.3 above or to the beneficiaries of the deceased Beneficiary referred to at Article 6.4 above may be freely transferred as from the date of their final allocation.</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8. Characteristics of the Shares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Shares definitively acquired shall be, at the Company’s choice, new ordinary shares to be issued by the Company or existing Shares acquired by the Company.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from the Acquisition Date, they shall be subject to all the provisions of the Bylaws.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They shall be assimilated to existing ordinary shares of the Company and shall benefit from the same rights as from the Acquisition Date.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9. Delivery and holding of the Shares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At the end of the Acquisition Period, the Company shall deliver to the Beneficiary the free Shares allocated under the 2026 Free Shares Plan provided that the conditions and criteria for such allocation provided by Articles 5 and 6 above are met.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If the Acquisition Date is not a working day, the delivery of the Shares shall be completed the first working day following the end of the Acquisition Period.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Shares that may be acquired under the 2026 Free Shares Plan will be held, during the Holding Period (if any), under the administered form (</w:t>
      </w:r>
      <w:r>
        <w:rPr>
          <w:rFonts w:ascii="Arial" w:hAnsi="Arial"/>
          <w:i/>
          <w:color w:val="000000"/>
          <w:sz w:val="20"/>
        </w:rPr>
        <w:t>nominatif administré</w:t>
      </w:r>
      <w:r>
        <w:rPr>
          <w:rFonts w:ascii="Arial" w:hAnsi="Arial"/>
          <w:color w:val="000000"/>
          <w:sz w:val="20"/>
        </w:rPr>
        <w:t>) in an individual account opened in the name of the relevant Beneficiary at Banque Transatlantique or other third-party provider as decided by the Company with a mention that they cannot be transferred. At the end of the Holding Period (or the end of the Acquisition Period if there is no Holding Period), the Shares will have to remain under the administered form (</w:t>
      </w:r>
      <w:r>
        <w:rPr>
          <w:rFonts w:ascii="Arial" w:hAnsi="Arial"/>
          <w:i/>
          <w:color w:val="000000"/>
          <w:sz w:val="20"/>
        </w:rPr>
        <w:t>nominatif administré</w:t>
      </w:r>
      <w:r>
        <w:rPr>
          <w:rFonts w:ascii="Arial" w:hAnsi="Arial"/>
          <w:color w:val="000000"/>
          <w:sz w:val="20"/>
        </w:rPr>
        <w:t>) at Banque Transatlantique or other third-party provider as decided by the Company until the time they are transferred to make sure that the restrictions set forth in the last paragraph of Article 7.1 above are complied with.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the event that, as a consequence of the allocation of free Shares under the 2026 Free Shares Plan, the Company or any of the companies of the Group shall be compelled to pay taxes, social costs or any other social security taxes or contributions on behalf of the Beneficiary, the Company retains the right to postpone or to forbid the delivery of the Shares on the Acquisition Date until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relevant Beneficiary has paid to the Company or to the relevant company of the Group the amount corresponding to these taxes, social costs, or social security taxes or contributions.</w:t>
      </w:r>
    </w:p>
    <w:p>
      <w:pPr>
        <w:pStyle w:val="TextBody"/>
        <w:bidi w:val="0"/>
        <w:jc w:val="left"/>
        <w:rPr/>
      </w:pPr>
      <w:r>
        <w:rPr/>
        <w:t> </w:t>
      </w:r>
    </w:p>
    <w:p>
      <w:pPr>
        <w:pStyle w:val="TextBody"/>
        <w:bidi w:val="0"/>
        <w:jc w:val="left"/>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10. Intermediary operations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In the event of exchange without equalization payment (</w:t>
      </w:r>
      <w:r>
        <w:rPr>
          <w:rFonts w:ascii="Arial" w:hAnsi="Arial"/>
          <w:i/>
          <w:color w:val="000000"/>
          <w:sz w:val="20"/>
        </w:rPr>
        <w:t>soulte</w:t>
      </w:r>
      <w:r>
        <w:rPr>
          <w:rFonts w:ascii="Arial" w:hAnsi="Arial"/>
          <w:color w:val="000000"/>
          <w:sz w:val="20"/>
        </w:rPr>
        <w:t>) resulting from an operation of merger or spin-off completed in compliance with the applicable regulations during the Acquisition Period or the Holding Period, if any, the companies taking part in the operation shall substitute to the Company and the provisions of the present 2026 Free Shares Plan, and notably the durations of the Acquisition Period and of the Holding Period, if any, shall apply to the allocation rights and to the shares received in compliance with Article L. 225-197-1 III of the French commercial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same shall apply in the event of a public offering operation, of a division or a grouping of shares completed in compliance with the application regulations during the Holding Period, if any.</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11. Adjustment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Should the Company proceed, during the Acquisition Period, to an amortization, to a share capital reduction, to a change in the allocation of its profits, to an allocation of free shares to all the shareholders, to a capitalization of reserves, profits or issuance premiums, to an allocation of reserves or to an issuance of equity securities or giving right to the allocation of equity securities including a preferential subscription right reserved to the shareholders, the maximum number of Shares allocated under the 2026 Free Shares Plan may be adjusted in order to take into account said operation by application, </w:t>
      </w:r>
      <w:r>
        <w:rPr>
          <w:rFonts w:ascii="Arial" w:hAnsi="Arial"/>
          <w:i/>
          <w:color w:val="000000"/>
          <w:sz w:val="20"/>
        </w:rPr>
        <w:t>mutatis mutandis</w:t>
      </w:r>
      <w:r>
        <w:rPr>
          <w:rFonts w:ascii="Arial" w:hAnsi="Arial"/>
          <w:color w:val="000000"/>
          <w:sz w:val="20"/>
        </w:rPr>
        <w:t>, of the terms of adjustment provided by the law for the beneficiaries of stock options.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Each Beneficiary shall be informed of the practical terms of the adjustment and of its consequences on the Allocation of Shares he or she benefited from, being specified that the free Shares allocated pursuant to this adjustment shall be governed by the present 2026 Free Shares Plan.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12. </w:t>
      </w:r>
      <w:r>
        <w:rPr>
          <w:rFonts w:ascii="Arial" w:hAnsi="Arial"/>
          <w:b/>
          <w:smallCaps/>
          <w:color w:val="000000"/>
          <w:sz w:val="24"/>
          <w:u w:val="single"/>
        </w:rPr>
        <w:t>Amendment to the 2026 Free Shares Plan</w:t>
      </w:r>
      <w:r>
        <w:rPr>
          <w:rFonts w:ascii="Times New Roman" w:hAnsi="Times New Roman"/>
          <w:smallCaps/>
          <w:color w:val="000000"/>
          <w:sz w:val="20"/>
        </w:rPr>
        <w:t xml:space="preserve">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12.1 Principle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present 2026 Free Shares Plan may be amended by the Board of Directors, being specified that, subject to Article 14.5, the amendments shall be subject to the written consent of the Beneficiaries if it results in a decrease in the rights of said Beneficiaries.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new provisions shall apply to the Beneficiaries during the Acquisition Period on the date of the decision to amend the 2026 Free Shares Plan taken by the Board of Directors, or the written consent of the Beneficiary, if required.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12.2 Notice of the amendments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amendments to the 2026 Free Shares Plan shall be communicated to the relevant Beneficiaries, by all means, including by internal mail, by simple letter or with acknowledgement of receipt, by fax or by e-mail.</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13. Tax and social rules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Beneficiary shall bear all taxes and mandatory costs which he or she must bear pursuant to the applicable law in relation to the allocation of free Shares, on the due date of said taxes or costs.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7/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Each Beneficiary shall verify and carry out, as the case may be, the declaratory obligations he or she must comply with in relation to the allocation of the free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Arial" w:hAnsi="Arial"/>
          <w:b/>
          <w:smallCaps/>
          <w:color w:val="000000"/>
          <w:sz w:val="20"/>
          <w:u w:val="single"/>
        </w:rPr>
      </w:pPr>
      <w:r>
        <w:rPr>
          <w:rFonts w:ascii="Arial" w:hAnsi="Arial"/>
          <w:b/>
          <w:smallCaps/>
          <w:color w:val="000000"/>
          <w:sz w:val="20"/>
          <w:u w:val="single"/>
        </w:rPr>
        <w:t>14. Miscellaneous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14.1 Rights in relation to the capacity of employee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 provisions of the present 2026 Free Shares Plan shall be construed as granting to the Beneficiary a right to have his or her employment agreement with the Company or any of the companies of the Group maintained, or limiting the right of the Company or any of the companies of the Group to terminate or amend the terms and conditions of the employment agreement of the Beneficiary.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14.2 Data privacy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Beneficiary hereby explicitly and unambiguously consents to the collection, use and transfer, in electronic or other form, of the Beneficiary’s personal data as described in this document by and among, as applicable, the Beneficiary’s employer (the “</w:t>
      </w:r>
      <w:r>
        <w:rPr>
          <w:rFonts w:ascii="Arial" w:hAnsi="Arial"/>
          <w:b/>
          <w:i/>
          <w:color w:val="000000"/>
          <w:sz w:val="20"/>
        </w:rPr>
        <w:t>Employer</w:t>
      </w:r>
      <w:r>
        <w:rPr>
          <w:rFonts w:ascii="Times New Roman" w:hAnsi="Times New Roman"/>
          <w:color w:val="000000"/>
          <w:sz w:val="20"/>
        </w:rPr>
        <w:t>”</w:t>
      </w:r>
      <w:r>
        <w:rPr>
          <w:rFonts w:ascii="Arial" w:hAnsi="Arial"/>
          <w:color w:val="000000"/>
          <w:sz w:val="20"/>
        </w:rPr>
        <w:t>), the Company and its other subsidiaries and affiliates for the exclusive purpose of implementing, administering and managing the Beneficiary’s participation in the 2026 Free Shares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Beneficiary understands that the Company and the Employer may hold certain personal information about Beneficiary, including, but not limited to, Beneficiary’s name, home address, email address and telephone number, date of birth, social insurance number, passport number or other identification number, salary, nationality, job title, any Shares or directorships held in the Company, details of all awards or any other entitlement to Shares awarded, canceled, exercised, vested, unvested or outstanding in Beneficiary’s favor, for the exclusive purpose of implementing, administering and managing the 2026 Free Shares Plan (“</w:t>
      </w:r>
      <w:r>
        <w:rPr>
          <w:rFonts w:ascii="Arial" w:hAnsi="Arial"/>
          <w:b/>
          <w:i/>
          <w:color w:val="000000"/>
          <w:sz w:val="20"/>
        </w:rPr>
        <w:t>Data</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The Beneficiary understands that the recipients of the Data may be located in France or elsewhere (including outside the European Union), and that the recipients’ country may have different data privacy laws and protections than the Beneficiary’s country. The Beneficiary understands that the Beneficiary may request a list with the names and addresses of any potential recipients of the Data by contacting the Beneficiary’s local human resources representative. The Beneficiary authorizes the Company and any other possible recipients which may assist the Company (presently or in the future) with implementing, administering and managing the 2026 Free Shares Plan to receive, possess, use, retain and transfer the Data, in electronic or other form, for the sole purpose of implementing, administering and managing Beneficiary’s participation in the 2026 Free Shares Plan. The Beneficiary understands that Data will be held only as long as is necessary to implement, administer and manage the Beneficiary’s participation in the 2026 Free Shares Plan. The Beneficiary understands that Beneficiary may, at any time, view the Data, request additional information about the storage processing of the Data, require any necessary amendments to Data or refuse or withdraw the consents herein, in any case without cost, by contacting in writing Beneficiary’s local human resources representative. The Beneficiary understands, however, that refusing or withdrawing the Beneficiary’s consent may affect the Beneficiary’s ability to participate in the 2026 Free Shares Plan. For more information on the consequences of the Beneficiary’s refusal to consent or withdrawal of consent, the Beneficiary understands that the Beneficiary may contact the Beneficiary’s local human resources representative.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If the Beneficiary resides in the Republic of France, any other country in the European Economic Area or the United Kingdom, the data privacy notice separately provided to such Beneficiary, as the case may be, shall supersede this Section 14.2.</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14.3 Electronic Delivery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may, in its sole discretion, decide to deliver any documents related to the 2026 Free Shares Plan or future awards that may be granted under the 2026 Free Shares Plan by electronic means or to request the Beneficiary’s consent to participate in the 2026 Free Shares Plan by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electronic means. The Beneficiary hereby consents to receive such documents by electronic delivery and, if requested, to agree to participate in the 2025 Free Shares Plan through an on-line or electronic system established and maintained by the Company or another third party designated by the Company.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14.4 Severability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provisions of this 2026 Free Shares Plan are severable and if any one or more provisions are determined to be illegal or otherwise unenforceable, in whole or in part, the remaining provisions shall nevertheless be binding and enforceable.</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14.5 Clawback</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accordance with the Clawback Policy, and if such policy applies to a Beneficiary, such Beneficiary’s right to an allocation of free Shares under the 2026 Free Shares Plan (if any), any free Shares definitively acquired by such Beneficiary under the 2026 Free Shares Plan, and/or proceeds received by such Beneficiary from the sale of Shares acquired under the 2026 Free Shares Plan, shall, in each case, be subject to the terms and conditions of such Clawback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14.6 Applicable law - Jurisdiction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2026 Free Shares Plan is subject to French law. Any dispute relating to its validity, its construction or its performance shall be decided by the competent courts of the French Republic.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14.7 Provisions Applicable to Beneficiaries Located outside of France</w:t>
      </w:r>
    </w:p>
    <w:p>
      <w:pPr>
        <w:pStyle w:val="TextBody"/>
        <w:bidi w:val="0"/>
        <w:spacing w:before="120" w:after="120"/>
        <w:jc w:val="both"/>
        <w:rPr>
          <w:rFonts w:ascii="Arial" w:hAnsi="Arial"/>
          <w:color w:val="000000"/>
          <w:sz w:val="20"/>
        </w:rPr>
      </w:pPr>
      <w:r>
        <w:rPr>
          <w:rFonts w:ascii="Arial" w:hAnsi="Arial"/>
          <w:color w:val="000000"/>
          <w:sz w:val="20"/>
        </w:rPr>
        <w:t>The attached Appendix applies to Beneficiaries located outside of France.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top w:val="single" w:sz="4" w:space="1" w:color="000000"/>
          <w:left w:val="single" w:sz="4" w:space="1" w:color="000000"/>
          <w:right w:val="single" w:sz="4" w:space="1" w:color="000000"/>
        </w:pBdr>
        <w:bidi w:val="0"/>
        <w:jc w:val="center"/>
        <w:rPr>
          <w:rFonts w:ascii="Times New Roman" w:hAnsi="Times New Roman"/>
          <w:sz w:val="20"/>
        </w:rPr>
      </w:pPr>
      <w:r>
        <w:rPr>
          <w:rFonts w:ascii="Arial" w:hAnsi="Arial"/>
          <w:color w:val="000000"/>
          <w:sz w:val="20"/>
          <w:u w:val="single"/>
        </w:rPr>
        <w:t>Reserved to the Beneficiary</w:t>
      </w:r>
      <w:r>
        <w:rPr>
          <w:rFonts w:ascii="Arial" w:hAnsi="Arial"/>
          <w:color w:val="000000"/>
          <w:sz w:val="20"/>
        </w:rPr>
        <w:t>:</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rFonts w:ascii="Times New Roman" w:hAnsi="Times New Roman"/>
          <w:sz w:val="20"/>
        </w:rPr>
      </w:pPr>
      <w:r>
        <w:rPr>
          <w:rFonts w:ascii="Arial" w:hAnsi="Arial"/>
          <w:color w:val="000000"/>
          <w:sz w:val="20"/>
        </w:rPr>
        <w:t>Mr/Ms _[ ]___________declares having read all the provisions of the 2026 Free Shares Plan and Appendix, as applicable, and expressly acknowledges that these provisions apply to him/her.</w:t>
      </w:r>
      <w:r>
        <w:rPr>
          <w:rFonts w:ascii="Times New Roman" w:hAnsi="Times New Roman"/>
          <w:color w:val="000000"/>
          <w:sz w:val="20"/>
        </w:rPr>
        <w:t xml:space="preserve"> </w:t>
      </w:r>
    </w:p>
    <w:p>
      <w:pPr>
        <w:pStyle w:val="TextBody"/>
        <w:pBdr>
          <w:left w:val="single" w:sz="4" w:space="1" w:color="000000"/>
          <w:right w:val="single" w:sz="4" w:space="1" w:color="000000"/>
        </w:pBdr>
        <w:bidi w:val="0"/>
        <w:jc w:val="both"/>
        <w:rPr/>
      </w:pPr>
      <w:r>
        <w:rPr/>
        <w:t> </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rFonts w:ascii="Arial" w:hAnsi="Arial"/>
          <w:color w:val="000000"/>
          <w:sz w:val="20"/>
        </w:rPr>
      </w:pPr>
      <w:r>
        <w:rPr>
          <w:rFonts w:ascii="Arial" w:hAnsi="Arial"/>
          <w:color w:val="000000"/>
          <w:sz w:val="20"/>
        </w:rPr>
        <w:t>Made in [Address 1]</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rFonts w:ascii="Arial" w:hAnsi="Arial"/>
          <w:color w:val="000000"/>
          <w:sz w:val="20"/>
        </w:rPr>
      </w:pPr>
      <w:r>
        <w:rPr>
          <w:rFonts w:ascii="Arial" w:hAnsi="Arial"/>
          <w:color w:val="000000"/>
          <w:sz w:val="20"/>
        </w:rPr>
        <w:t>On [Date of Signature]</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pPr>
      <w:r>
        <w:rPr/>
        <w:t> </w:t>
      </w:r>
    </w:p>
    <w:p>
      <w:pPr>
        <w:pStyle w:val="TextBody"/>
        <w:pBdr>
          <w:left w:val="single" w:sz="4" w:space="1" w:color="000000"/>
          <w:right w:val="single" w:sz="4" w:space="1" w:color="000000"/>
        </w:pBdr>
        <w:bidi w:val="0"/>
        <w:jc w:val="left"/>
        <w:rPr>
          <w:rFonts w:ascii="Arial" w:hAnsi="Arial"/>
          <w:color w:val="000000"/>
          <w:sz w:val="20"/>
        </w:rPr>
      </w:pPr>
      <w:r>
        <w:rPr>
          <w:rFonts w:ascii="Arial" w:hAnsi="Arial"/>
          <w:color w:val="000000"/>
          <w:sz w:val="20"/>
        </w:rPr>
        <w:t>Signature: _[Employee Signature]_________________and initial on each page</w:t>
      </w:r>
    </w:p>
    <w:p>
      <w:pPr>
        <w:pStyle w:val="TextBody"/>
        <w:pBdr>
          <w:left w:val="single" w:sz="4" w:space="1" w:color="000000"/>
          <w:bottom w:val="single" w:sz="4" w:space="1" w:color="000000"/>
          <w:right w:val="single" w:sz="4" w:space="1" w:color="000000"/>
        </w:pBdr>
        <w:bidi w:val="0"/>
        <w:jc w:val="left"/>
        <w:rPr/>
      </w:pPr>
      <w:r>
        <w:rPr/>
        <w:t> </w:t>
      </w:r>
    </w:p>
    <w:p>
      <w:pPr>
        <w:pStyle w:val="TextBody"/>
        <w:bidi w:val="0"/>
        <w:jc w:val="center"/>
        <w:rPr>
          <w:rFonts w:ascii="Arial" w:hAnsi="Arial"/>
          <w:color w:val="000000"/>
          <w:sz w:val="20"/>
        </w:rPr>
      </w:pPr>
      <w:r>
        <w:rPr>
          <w:rFonts w:ascii="Arial" w:hAnsi="Arial"/>
          <w:color w:val="000000"/>
          <w:sz w:val="20"/>
        </w:rPr>
        <w:t>9/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APPENDIX</w:t>
      </w:r>
    </w:p>
    <w:p>
      <w:pPr>
        <w:pStyle w:val="TextBody"/>
        <w:bidi w:val="0"/>
        <w:jc w:val="center"/>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TERMS AND CONDITIONS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This Appendix contains additional terms and conditions that will apply to the Beneficiary if he or she resides outside of France. Capitalized terms used but not defined herein shall have the same meanings assigned to them in the 2026 Free Shares Plan (the “</w:t>
      </w:r>
      <w:r>
        <w:rPr>
          <w:rFonts w:ascii="Arial" w:hAnsi="Arial"/>
          <w:b/>
          <w:i/>
          <w:color w:val="000000"/>
          <w:sz w:val="20"/>
        </w:rPr>
        <w:t>Plan</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NOTIFICATIONS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This Appendix also includes information regarding exchange control and certain other issues of which the Beneficiary should be aware with respect to his or her participation in the Plan. The information is based on the securities, exchange control and other laws in effect in the respective countries as of July 2026. Such laws are often complex and change frequently. The Company therefore strongly recommends that the Beneficiary not rely on the information in this Appendix as the only source of information relating to the consequences of his or her participation in the Plan because such information may be outdated when the Beneficiary vests in the Shares and/or sells any Shares issued pursuant to the award.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GENERAL PROVISIONS</w:t>
      </w:r>
    </w:p>
    <w:p>
      <w:pPr>
        <w:pStyle w:val="TextBody"/>
        <w:bidi w:val="0"/>
        <w:jc w:val="both"/>
        <w:rPr/>
      </w:pPr>
      <w:r>
        <w:rPr/>
        <w:t> </w:t>
      </w:r>
    </w:p>
    <w:p>
      <w:pPr>
        <w:pStyle w:val="TextBody"/>
        <w:bidi w:val="0"/>
        <w:spacing w:before="120" w:after="120"/>
        <w:jc w:val="both"/>
        <w:rPr>
          <w:rFonts w:ascii="Times New Roman" w:hAnsi="Times New Roman"/>
          <w:sz w:val="20"/>
        </w:rPr>
      </w:pPr>
      <w:r>
        <w:rPr>
          <w:rFonts w:ascii="Arial" w:hAnsi="Arial"/>
          <w:color w:val="000000"/>
          <w:sz w:val="20"/>
          <w:u w:val="single"/>
        </w:rPr>
        <w:t>Taxes</w:t>
      </w:r>
      <w:r>
        <w:rPr>
          <w:rFonts w:ascii="Arial" w:hAnsi="Arial"/>
          <w:color w:val="000000"/>
          <w:sz w:val="20"/>
        </w:rPr>
        <w:t>. Regardless of any action the Company or the Employer takes with respect to any or all income tax, social insurance, payroll tax, or other tax-related withholding (“</w:t>
      </w:r>
      <w:r>
        <w:rPr>
          <w:rFonts w:ascii="Arial" w:hAnsi="Arial"/>
          <w:b/>
          <w:i/>
          <w:color w:val="000000"/>
          <w:sz w:val="20"/>
        </w:rPr>
        <w:t>Tax-Related Items</w:t>
      </w:r>
      <w:r>
        <w:rPr>
          <w:rFonts w:ascii="Times New Roman" w:hAnsi="Times New Roman"/>
          <w:color w:val="000000"/>
          <w:sz w:val="20"/>
        </w:rPr>
        <w:t>”</w:t>
      </w:r>
      <w:r>
        <w:rPr>
          <w:rFonts w:ascii="Arial" w:hAnsi="Arial"/>
          <w:color w:val="000000"/>
          <w:sz w:val="20"/>
        </w:rPr>
        <w:t>), the Beneficiary acknowledges that the ultimate liability for all Tax-Related Items legally due by the Beneficiary is and remains the Beneficiary’s responsibility and that the Company and/or the Employer (1) make no representations or undertakings regarding the treatment of any Tax-Related Items in connection with any aspect of the Share grant, including the grant, vesting of the Shares, the subsequent sale of Shares acquired pursuant to such vesting and the receipt of any dividends; and (2) do not commit to structure the terms of the grant or any aspect of the Shares to reduce or eliminate the Beneficiary’s liability for Tax-Related Items.</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Prior to vesting of the Shares, the Beneficiary will pay or make adequate arrangements satisfactory to the Company and/or the Employer to satisfy all withholding obligations of the Company and/or the Employer, if any. In this regard, the Beneficiary authorizes the Company and/or the Employer to withhold all applicable Tax-Related Items legally payable by the Beneficiary from the Beneficiary’s compensation paid to the Beneficiary by the Company and/or Employer or from proceeds of the sale of Shares. Alternatively, or in addition, if permissible under local law, the Company may (1) sell or arrange for the sale of Shares that the Beneficiary acquires to meet the withholding obligation for Tax-Related Items and/or (2) withhold in Shares, provided that the Company only withholds the amount of Shares necessary to satisfy the minimum withholding amount. Finally, the Beneficiary will pay to the Company or the Employer any amount of Tax-Related Items that the Company or the Employer may be required to withhold as a result of the Beneficiary’s participation in the 2026 Free Shares Plan or the Beneficiary’s acquisition of Shares that cannot be satisfied by the means previously described. The Company may refuse to honor the vesting and refuse to deliver the Shares if the Beneficiary fails to comply with the Beneficiary’s obligations in connection with the Tax-Related Items as described in this section.</w:t>
      </w:r>
    </w:p>
    <w:p>
      <w:pPr>
        <w:pStyle w:val="TextBody"/>
        <w:bidi w:val="0"/>
        <w:jc w:val="both"/>
        <w:rPr>
          <w:rFonts w:ascii="Times New Roman" w:hAnsi="Times New Roman"/>
          <w:sz w:val="20"/>
        </w:rPr>
      </w:pPr>
      <w:r>
        <w:rPr>
          <w:rFonts w:ascii="Arial" w:hAnsi="Arial"/>
          <w:color w:val="000000"/>
          <w:sz w:val="20"/>
          <w:u w:val="single"/>
        </w:rPr>
        <w:t>Nature of Grant</w:t>
      </w:r>
      <w:r>
        <w:rPr>
          <w:rFonts w:ascii="Arial" w:hAnsi="Arial"/>
          <w:color w:val="000000"/>
          <w:sz w:val="20"/>
        </w:rPr>
        <w:t>. In accepting the grant, the Beneficiary acknowledges that: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the Plan is established voluntarily by the Company, it is discretionary in nature and it may be modified, amended, suspended or terminated by the Company at any time, unless otherwise provided in the Plan;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(b) the grant of the Shares is voluntary and occasional and does not create any contractual or other right to receive future grants of Shares, or benefits in lieu of Shares, even if Shares have been granted repeatedly in the past;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 all decisions with respect to future grants, if any, will be at the sole discretion of the Company;</w:t>
      </w:r>
    </w:p>
    <w:p>
      <w:pPr>
        <w:pStyle w:val="TextBody"/>
        <w:bidi w:val="0"/>
        <w:jc w:val="center"/>
        <w:rPr>
          <w:rFonts w:ascii="Arial" w:hAnsi="Arial"/>
          <w:color w:val="000000"/>
          <w:sz w:val="20"/>
        </w:rPr>
      </w:pPr>
      <w:r>
        <w:rPr>
          <w:rFonts w:ascii="Arial" w:hAnsi="Arial"/>
          <w:color w:val="000000"/>
          <w:sz w:val="20"/>
        </w:rPr>
        <w:t>10/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(d) the Beneficiary’s participation in the Plan shall not create a right to further employment with the Employer and shall not interfere with the ability of the Employer to terminate the Beneficiary’s employment relationship at any time with or without cause unless otherwise required under local law;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 the Beneficiary is voluntarily participating in the Plan;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 the Shares are an extraordinary item that do not constitute compensation of any kind for services of any kind rendered to the Company or the Employer, and which is outside the scope of the Beneficiary’s employment contract, if any;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 the Shares are not part of normal or expected compensation or salary for any purpose, including, but not limited to, calculating any severance, resignation, termination, redundancy, end of service payments, bonuses, long service awards, pension or retirement benefits or similar payments and in no event should be considered as compensation for, or relating in any way to, past services for the Company or the Employer;</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 in the event that the Beneficiary is not an employee of the Company, the grant will not be interpreted to form an employment contract or relationship with the Company; and furthermore, the grant will not be interpreted to form an employment contract with the Employer or any subsidiary or affiliate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 the future value of the underlying Shares is unknown and cannot be predicted with certainty;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 if the Beneficiary obtains Shares, the value of those Shares may increase or decrease;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(l) in consideration of the grant, no claim or entitlement to compensation or damages shall arise from termination of the award of Shares or diminution in value of the award resulting from termination of the Beneficiary’s employment with the Company or the Employer (for any reason whatsoever) and the Beneficiary irrevocably releases the Company and the Employer from any such claim that may arise; if, notwithstanding the foregoing, any such claim is found by a court of competent jurisdiction to have arisen, then, by signing the Plan, the Beneficiary shall be deemed irrevocably to have waived the Beneficiary’s entitlement to pursue such claim;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 unless otherwise decided by the Board of Directors, in the event of termination of the Beneficiary’s employment during the acquisition period, the Beneficiary’s right to vest in the Shares under the Plan, if any, will terminate effective as of the date that the Beneficiary is no longer actively employed and will not be extended by any notice period mandated under the local law (e.g., active employment would not include a period of “garden leave” or similar period pursuant to local law).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u w:val="single"/>
        </w:rPr>
        <w:t>Language</w:t>
      </w:r>
      <w:r>
        <w:rPr>
          <w:rFonts w:ascii="Arial" w:hAnsi="Arial"/>
          <w:color w:val="000000"/>
          <w:sz w:val="20"/>
        </w:rPr>
        <w:t>. If the Beneficiary has received this document or any other document related to the Plan translated into a language other than French and if the translated version is different from the French version, the French version will control.</w:t>
      </w:r>
    </w:p>
    <w:p>
      <w:pPr>
        <w:pStyle w:val="TextBody"/>
        <w:bidi w:val="0"/>
        <w:jc w:val="both"/>
        <w:rPr/>
      </w:pPr>
      <w:r>
        <w:rPr/>
        <w:t> </w:t>
      </w:r>
    </w:p>
    <w:p>
      <w:pPr>
        <w:pStyle w:val="TextBody"/>
        <w:bidi w:val="0"/>
        <w:jc w:val="both"/>
        <w:rPr>
          <w:rFonts w:ascii="Arial" w:hAnsi="Arial"/>
          <w:b/>
          <w:i/>
          <w:caps/>
          <w:color w:val="000000"/>
          <w:sz w:val="20"/>
        </w:rPr>
      </w:pPr>
      <w:r>
        <w:rPr>
          <w:rFonts w:ascii="Arial" w:hAnsi="Arial"/>
          <w:b/>
          <w:i/>
          <w:caps/>
          <w:color w:val="000000"/>
          <w:sz w:val="20"/>
        </w:rPr>
        <w:t>COUNTRY-SPECIFIC PROVISIONS - United States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1. The Beneficiary acknowledges the following:</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 xml:space="preserve">- </w:t>
      </w:r>
      <w:r>
        <w:rPr>
          <w:rFonts w:ascii="Arial" w:hAnsi="Arial"/>
          <w:color w:val="000000"/>
          <w:sz w:val="20"/>
        </w:rPr>
        <w:t>that both this award and any Shares are securities (“</w:t>
      </w:r>
      <w:r>
        <w:rPr>
          <w:rFonts w:ascii="Arial" w:hAnsi="Arial"/>
          <w:b/>
          <w:i/>
          <w:color w:val="000000"/>
          <w:sz w:val="20"/>
        </w:rPr>
        <w:t>Securities</w:t>
      </w:r>
      <w:r>
        <w:rPr>
          <w:rFonts w:ascii="Times New Roman" w:hAnsi="Times New Roman"/>
          <w:color w:val="000000"/>
          <w:sz w:val="20"/>
        </w:rPr>
        <w:t>”</w:t>
      </w:r>
      <w:r>
        <w:rPr>
          <w:rFonts w:ascii="Arial" w:hAnsi="Arial"/>
          <w:color w:val="000000"/>
          <w:sz w:val="20"/>
        </w:rPr>
        <w:t>), the issuance by the Company of which requires compliance with applicable federal and state securities laws;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 xml:space="preserve">- </w:t>
      </w:r>
      <w:r>
        <w:rPr>
          <w:rFonts w:ascii="Arial" w:hAnsi="Arial"/>
          <w:color w:val="000000"/>
          <w:sz w:val="20"/>
        </w:rPr>
        <w:t>that these Securities are made available to the Beneficiary only on the condition that the Beneficiary makes the representations contained in this section to the Company,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 xml:space="preserve">- </w:t>
      </w:r>
      <w:r>
        <w:rPr>
          <w:rFonts w:ascii="Arial" w:hAnsi="Arial"/>
          <w:color w:val="000000"/>
          <w:sz w:val="20"/>
        </w:rPr>
        <w:t>the Beneficiary has made a reasonable investigation of the affairs of the Company sufficient to be well informed as to the rights and the value of these Securities.</w:t>
      </w:r>
    </w:p>
    <w:p>
      <w:pPr>
        <w:pStyle w:val="TextBody"/>
        <w:bidi w:val="0"/>
        <w:jc w:val="center"/>
        <w:rPr>
          <w:rFonts w:ascii="Arial" w:hAnsi="Arial"/>
          <w:color w:val="000000"/>
          <w:sz w:val="20"/>
        </w:rPr>
      </w:pPr>
      <w:r>
        <w:rPr>
          <w:rFonts w:ascii="Arial" w:hAnsi="Arial"/>
          <w:color w:val="000000"/>
          <w:sz w:val="20"/>
        </w:rPr>
        <w:t>11/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2. This Plan is intended to comply with, or be exempt from, Section 409A of the U.S. Internal Revenue Code (the “</w:t>
      </w:r>
      <w:r>
        <w:rPr>
          <w:rFonts w:ascii="Arial" w:hAnsi="Arial"/>
          <w:b/>
          <w:i/>
          <w:color w:val="000000"/>
          <w:sz w:val="20"/>
        </w:rPr>
        <w:t>Code</w:t>
      </w:r>
      <w:r>
        <w:rPr>
          <w:rFonts w:ascii="Times New Roman" w:hAnsi="Times New Roman"/>
          <w:color w:val="000000"/>
          <w:sz w:val="20"/>
        </w:rPr>
        <w:t>”</w:t>
      </w:r>
      <w:r>
        <w:rPr>
          <w:rFonts w:ascii="Arial" w:hAnsi="Arial"/>
          <w:color w:val="000000"/>
          <w:sz w:val="20"/>
        </w:rPr>
        <w:t>), and shall be interpreted, construed and administered consistent with that intent. Any reference to Section 409A of the Code will also include any regulations or any other formal guidance promulgated with respect to such section by the U.S. Department of the Treasury or the Internal Revenue Service. If any of the terms and conditions of the Plan, or any grant document contravenes any regulations or guidance under Section 409A of the Code or could cause any granted award to be subject to taxes, interest or penalties under Section 409A of the Code, the Company may, in its sole discretion and without the U.S. Beneficiary’s consent, modify the Plan or grant documents to: (i) comply with, or avoid being subject to Section 409A of the Code, (ii) avoid the incurrence of additional taxes, interest or penalties under Section 409A of the Code, and (iii) maintain, to the maximum extent practicable, the original intent of the applicable term, condition or provision without contravening the provisions of Section 409A of the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Notwithstanding anything in the Plan to the contrary, if (i) pursuant to Section 12 of the Plan, the Company amends the terms of such section to provide that free Shares may be delivered to the Beneficiary upon a “separation from service” (as determined in accordance with Section 409A of the Code), (ii) the Beneficiary is a “specified employee” (within the meaning of Section 409A of the Code), (iii) the issuance of the free Shares is considered to be a “deferral of compensation” (as such phrase is defined for purposes of Section 409A of the Code) and (iv) such issuance is made by reason of the Beneficiary’s “separation from service” with the Company (determined in accordance with Section 409A of the Code), then the Beneficiary’s date of issuance of the free Shares shall be the date that is the first day of the seventh month after the date of the Beneficiary’s separation from service.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makes no representation as to the tax status of the Plan to the Beneficiaries, who should seek their own tax advice.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3. Section 6.1 (Principles) of the Plan is revised to provide that, if a change of control occurs, the Board of Directors decides to accelerate the vesting of the free Shares and the issuance of the free Shares is considered to be a “deferral of compensation” (as such phrase is defined for purposes of Section 409A of the Code), such acceleration may only occur if the change of control constitutes a change in the ownership or effective control of the Company or in the ownership of a substantial portion of the assets of the Company (each within the meaning of Section 409A of the Code).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4. Section 6.5 (Retirement) of the Plan does not apply to beneficiaries subject to tax in the United States.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 NUMPAGES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8" w:name="clls-exfiling_fees.htm"/>
      <w:bookmarkStart w:id="19" w:name="kscllsexfiling_fees"/>
      <w:bookmarkStart w:id="20" w:name="clls-exfiling_fees.htm"/>
      <w:bookmarkStart w:id="21" w:name="kscllsexfiling_fees"/>
      <w:bookmarkEnd w:id="20"/>
      <w:bookmarkEnd w:id="21"/>
      <w:r>
        <w:br w:type="page"/>
      </w:r>
    </w:p>
    <w:tbl>
      <w:tblPr>
        <w:tblW w:w="3553" w:type="dxa"/>
        <w:jc w:val="left"/>
        <w:tblInd w:w="0" w:type="dxa"/>
        <w:tblLayout w:type="fixed"/>
        <w:tblCellMar>
          <w:top w:w="28" w:type="dxa"/>
          <w:left w:w="28" w:type="dxa"/>
          <w:bottom w:w="28" w:type="dxa"/>
          <w:right w:w="28" w:type="dxa"/>
        </w:tblCellMar>
      </w:tblPr>
      <w:tblGrid>
        <w:gridCol w:w="3399"/>
        <w:gridCol w:w="154"/>
      </w:tblGrid>
      <w:tr>
        <w:trPr/>
        <w:tc>
          <w:tcPr>
            <w:tcW w:w="355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283"/>
              <w:jc w:val="left"/>
              <w:rPr>
                <w:b/>
              </w:rPr>
            </w:pPr>
            <w:r>
              <w:rPr>
                <w:b/>
              </w:rPr>
              <w:t xml:space="preserve">Cellectis S.A.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5"/>
        <w:gridCol w:w="1059"/>
        <w:gridCol w:w="1291"/>
        <w:gridCol w:w="1200"/>
        <w:gridCol w:w="1209"/>
        <w:gridCol w:w="1698"/>
        <w:gridCol w:w="1126"/>
        <w:gridCol w:w="142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5" w:type="dxa"/>
            <w:tcBorders/>
            <w:shd w:fill="E7E7E2" w:val="clear"/>
            <w:vAlign w:val="center"/>
          </w:tcPr>
          <w:p>
            <w:pPr>
              <w:pStyle w:val="TableContents"/>
              <w:bidi w:val="0"/>
              <w:spacing w:before="0" w:after="283"/>
              <w:jc w:val="left"/>
              <w:rPr/>
            </w:pPr>
            <w:r>
              <w:rPr/>
              <w:t xml:space="preserve">Equity </w:t>
            </w:r>
          </w:p>
        </w:tc>
        <w:tc>
          <w:tcPr>
            <w:tcW w:w="1059" w:type="dxa"/>
            <w:tcBorders/>
            <w:shd w:fill="E7E7E2" w:val="clear"/>
            <w:vAlign w:val="center"/>
          </w:tcPr>
          <w:p>
            <w:pPr>
              <w:pStyle w:val="TableContents"/>
              <w:bidi w:val="0"/>
              <w:spacing w:before="0" w:after="283"/>
              <w:jc w:val="left"/>
              <w:rPr/>
            </w:pPr>
            <w:r>
              <w:rPr/>
              <w:t xml:space="preserve">Ordinary Shares, euro 0.05 nominal value per share; 2026 Stock Option Plan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4,023,640 </w:t>
            </w:r>
          </w:p>
        </w:tc>
        <w:tc>
          <w:tcPr>
            <w:tcW w:w="1209" w:type="dxa"/>
            <w:tcBorders/>
            <w:shd w:fill="E7E7E2" w:val="clear"/>
            <w:vAlign w:val="center"/>
          </w:tcPr>
          <w:p>
            <w:pPr>
              <w:pStyle w:val="TableContents"/>
              <w:bidi w:val="0"/>
              <w:spacing w:before="0" w:after="283"/>
              <w:jc w:val="right"/>
              <w:rPr/>
            </w:pPr>
            <w:r>
              <w:rPr/>
              <w:t xml:space="preserve">$ 2.76 </w:t>
            </w:r>
          </w:p>
        </w:tc>
        <w:tc>
          <w:tcPr>
            <w:tcW w:w="1698" w:type="dxa"/>
            <w:tcBorders/>
            <w:shd w:fill="E7E7E2" w:val="clear"/>
            <w:vAlign w:val="center"/>
          </w:tcPr>
          <w:p>
            <w:pPr>
              <w:pStyle w:val="TableContents"/>
              <w:bidi w:val="0"/>
              <w:spacing w:before="0" w:after="283"/>
              <w:jc w:val="right"/>
              <w:rPr/>
            </w:pPr>
            <w:r>
              <w:rPr/>
              <w:t xml:space="preserve">$ 11,105,246.40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$ 1,533.63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5" w:type="dxa"/>
            <w:tcBorders/>
            <w:shd w:fill="E7E7E2" w:val="clear"/>
            <w:vAlign w:val="center"/>
          </w:tcPr>
          <w:p>
            <w:pPr>
              <w:pStyle w:val="TableContents"/>
              <w:bidi w:val="0"/>
              <w:spacing w:before="0" w:after="283"/>
              <w:jc w:val="left"/>
              <w:rPr/>
            </w:pPr>
            <w:r>
              <w:rPr/>
              <w:t xml:space="preserve">Equity </w:t>
            </w:r>
          </w:p>
        </w:tc>
        <w:tc>
          <w:tcPr>
            <w:tcW w:w="1059" w:type="dxa"/>
            <w:tcBorders/>
            <w:shd w:fill="E7E7E2" w:val="clear"/>
            <w:vAlign w:val="center"/>
          </w:tcPr>
          <w:p>
            <w:pPr>
              <w:pStyle w:val="TableContents"/>
              <w:bidi w:val="0"/>
              <w:spacing w:before="0" w:after="283"/>
              <w:jc w:val="left"/>
              <w:rPr/>
            </w:pPr>
            <w:r>
              <w:rPr/>
              <w:t xml:space="preserve">Ordinary Shares, euro 0.05 nominal value per share; 2026 Free Shares Plan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4,023,640 </w:t>
            </w:r>
          </w:p>
        </w:tc>
        <w:tc>
          <w:tcPr>
            <w:tcW w:w="1209" w:type="dxa"/>
            <w:tcBorders/>
            <w:shd w:fill="E7E7E2" w:val="clear"/>
            <w:vAlign w:val="center"/>
          </w:tcPr>
          <w:p>
            <w:pPr>
              <w:pStyle w:val="TableContents"/>
              <w:bidi w:val="0"/>
              <w:spacing w:before="0" w:after="283"/>
              <w:jc w:val="right"/>
              <w:rPr/>
            </w:pPr>
            <w:r>
              <w:rPr/>
              <w:t xml:space="preserve">$ 2.76 </w:t>
            </w:r>
          </w:p>
        </w:tc>
        <w:tc>
          <w:tcPr>
            <w:tcW w:w="1698" w:type="dxa"/>
            <w:tcBorders/>
            <w:shd w:fill="E7E7E2" w:val="clear"/>
            <w:vAlign w:val="center"/>
          </w:tcPr>
          <w:p>
            <w:pPr>
              <w:pStyle w:val="TableContents"/>
              <w:bidi w:val="0"/>
              <w:spacing w:before="0" w:after="283"/>
              <w:jc w:val="right"/>
              <w:rPr/>
            </w:pPr>
            <w:r>
              <w:rPr/>
              <w:t xml:space="preserve">$ 11,105,246.40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$ 1,533.63 </w:t>
            </w:r>
          </w:p>
        </w:tc>
      </w:tr>
      <w:tr>
        <w:trPr/>
        <w:tc>
          <w:tcPr>
            <w:tcW w:w="4746" w:type="dxa"/>
            <w:gridSpan w:val="5"/>
            <w:tcBorders/>
            <w:vAlign w:val="center"/>
          </w:tcPr>
          <w:p>
            <w:pPr>
              <w:pStyle w:val="TableContents"/>
              <w:bidi w:val="0"/>
              <w:spacing w:before="0" w:after="0"/>
              <w:ind w:left="0" w:right="0" w:hanging="0"/>
              <w:jc w:val="right"/>
              <w:rPr/>
            </w:pPr>
            <w:r>
              <w:rPr/>
              <w:t>Total Offering Amounts:</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0"/>
              <w:ind w:left="0" w:right="0" w:hanging="0"/>
              <w:jc w:val="right"/>
              <w:rPr/>
            </w:pPr>
            <w:bookmarkStart w:id="22" w:name="MaxAggtOfferingPrice"/>
            <w:bookmarkEnd w:id="22"/>
            <w:r>
              <w:rPr/>
              <w:t xml:space="preserve">$ 22,210,492.80 </w:t>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3" w:name="TotalFeeAmt"/>
            <w:bookmarkEnd w:id="23"/>
            <w:r>
              <w:rPr/>
              <w:t xml:space="preserve">$ 3,067.26 </w:t>
            </w:r>
          </w:p>
        </w:tc>
      </w:tr>
      <w:tr>
        <w:trPr/>
        <w:tc>
          <w:tcPr>
            <w:tcW w:w="4746" w:type="dxa"/>
            <w:gridSpan w:val="5"/>
            <w:tcBorders/>
            <w:vAlign w:val="center"/>
          </w:tcPr>
          <w:p>
            <w:pPr>
              <w:pStyle w:val="TableContents"/>
              <w:bidi w:val="0"/>
              <w:spacing w:before="0" w:after="0"/>
              <w:ind w:left="0" w:right="0" w:hanging="0"/>
              <w:jc w:val="right"/>
              <w:rPr/>
            </w:pPr>
            <w:r>
              <w:rPr/>
              <w:t xml:space="preserve">Total Fee Offsets: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24" w:name="TotalOffsetAmt"/>
            <w:bookmarkEnd w:id="24"/>
            <w:r>
              <w:rPr/>
              <w:t xml:space="preserve">$ 0.00 </w:t>
            </w:r>
          </w:p>
        </w:tc>
      </w:tr>
      <w:tr>
        <w:trPr/>
        <w:tc>
          <w:tcPr>
            <w:tcW w:w="4746" w:type="dxa"/>
            <w:gridSpan w:val="5"/>
            <w:tcBorders/>
            <w:vAlign w:val="center"/>
          </w:tcPr>
          <w:p>
            <w:pPr>
              <w:pStyle w:val="TableContents"/>
              <w:bidi w:val="0"/>
              <w:spacing w:before="0" w:after="0"/>
              <w:ind w:left="0" w:right="0" w:hanging="0"/>
              <w:jc w:val="right"/>
              <w:rPr/>
            </w:pPr>
            <w:r>
              <w:rPr/>
              <w:t xml:space="preserve">Net Fee Due: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25" w:name="NetFeeAmt"/>
            <w:bookmarkEnd w:id="25"/>
            <w:r>
              <w:rPr/>
              <w:t xml:space="preserve">$ 3,067.26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These shares may be represented by the Registrant's American Depositary Shares (each, an "ADS"). Each ADS represents one of the Registrant's Ordinary Shares (each, an "Ordinary Share"). ADSs issuable upon deposit of the Ordinary Shares registered hereby were registered pursuant to a separate Registration Statement on Form F-6 (File No. 333-202488). (2) Pursuant to Rule 416(a) under the Securities Act of 1933, as amended (the "Securities Act"), this Registration Statement shall also cover any additional Ordinary Shares that become issuable under the Registrant's 2026 Stock Option Plan, dated August 6, 2026 (the "2026 Stock Option Plan"), or the Registrant's 2026 Free Shares Plan, dated August 6, 2026 (the "2026 Free Shares Plan"), or by reason of any stock dividend, stock split, recapitalization or other similar transaction effected without receipt of consideration that increases the number of the Registrant's outstanding Ordinary Shares. (3) The shareholders authorization relating to the Ordinary Shares reserved for issuance upon stock option and free share grants covered by this Registration Statement restricts the aggregate number of Ordinary Shares issuable to an aggregate of 4,023,640 Ordinary Shares. Accordingly, notwithstanding the 8,047,280 Ordinary Shares registered on this Registration Statement, the aggregate amount issuable upon issuances cannot exceed 4,023,640 Ordinary Shares. (4) Represents Ordinary Shares reserved for future issuance upon the exercise of stock options issuable under the 2026 Stock Option Plan. (6) Estimated solely for the purpose of calculating the amount of the registration fee pursuant to Rule 457(c) and Rule 457(h) of the Securities Act based upon the price of $2.76 per ADS, which was the average of the high and low prices of the ADS as reported on the Nasdaq Stock Market LLC on July 31,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(1) These shares may be represented by the Registrant's American Depositary Shares (each, an "ADS"). Each ADS represents one of the Registrant's Ordinary Shares (each, an "Ordinary Share"). ADSs issuable upon deposit of the Ordinary Shares registered hereby were registered pursuant to a separate Registration Statement on Form F-6 (File No. 333-202488). (2) Pursuant to Rule 416(a) under the Securities Act of 1933, as amended (the "Securities Act"), this Registration Statement shall also cover any additional Ordinary Shares that become issuable under the Registrant's 2026 Stock Option Plan, dated August 6, 2026 (the "2026 Stock Option Plan"), or the Registrant's 2026 Free Shares Plan, dated August 6, 2026 (the "2026 Free Shares Plan"), or by reason of any stock dividend, stock split, recapitalization or other similar transaction effected without receipt of consideration that increases the number of the Registrant's outstanding Ordinary Shares. (3) The shareholders authorization relating to the Ordinary Shares reserved for issuance upon stock option and free share grants covered by this Registration Statement restricts the aggregate number of Ordinary Shares issuable to an aggregate of 4,023,640 Ordinary Shares. Accordingly, notwithstanding the 8,047,280 Ordinary Shares registered on this Registration Statement, the aggregate amount issuable upon issuances cannot exceed 4,023,640 Ordinary Shares. (5) Represents Ordinary Shares reserved for future issuance under the 2026 Free Shares Plan. (6) Estimated solely for the purpose of calculating the amount of the registration fee pursuant to Rule 457(c) and Rule 457(h) of the Securities Act based upon the price of $2.76 per ADS, which was the average of the high and low prices of the ADS as reported on the Nasdaq Stock Market LLC on July 31,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27281/000119312526116428/clls-20251231.htm" TargetMode="External"/><Relationship Id="rId3" Type="http://schemas.openxmlformats.org/officeDocument/2006/relationships/hyperlink" Target="https://www.sec.gov/Archives/edgar/data/1627281/000119312526216901/0001193125-26-216901-index.htm" TargetMode="External"/><Relationship Id="rId4" Type="http://schemas.openxmlformats.org/officeDocument/2006/relationships/hyperlink" Target="https://www.sec.gov/Archives/edgar/data/1627281/000119312526232972/0001193125-26-232972-index.htm" TargetMode="External"/><Relationship Id="rId5" Type="http://schemas.openxmlformats.org/officeDocument/2006/relationships/hyperlink" Target="https://www.sec.gov/Archives/edgar/data/1627281/000117184326004006/0001171843-26-004006-index.htm" TargetMode="External"/><Relationship Id="rId6" Type="http://schemas.openxmlformats.org/officeDocument/2006/relationships/hyperlink" Target="https://www.sec.gov/Archives/edgar/data/1627281/000117184326004051/0001171843-26-004051-index.htm" TargetMode="External"/><Relationship Id="rId7" Type="http://schemas.openxmlformats.org/officeDocument/2006/relationships/hyperlink" Target="https://www.sec.gov/Archives/edgar/data/1627281/000119312526282865/0001193125-26-282865-index.htm" TargetMode="External"/><Relationship Id="rId8" Type="http://schemas.openxmlformats.org/officeDocument/2006/relationships/hyperlink" Target="https://www.sec.gov/Archives/edgar/data/1627281/000119312526285565/0001193125-26-285565-index.htm" TargetMode="External"/><Relationship Id="rId9" Type="http://schemas.openxmlformats.org/officeDocument/2006/relationships/hyperlink" Target="https://www.sec.gov/Archives/edgar/data/1627281/000119312526338220/clls_6-k_q2_2026.htm" TargetMode="External"/><Relationship Id="rId10" Type="http://schemas.openxmlformats.org/officeDocument/2006/relationships/hyperlink" Target="https://www.sec.gov/Archives/edgar/data/1627281/000119312515101281/0001193125-15-101281-index.htm" TargetMode="External"/><Relationship Id="rId11" Type="http://schemas.openxmlformats.org/officeDocument/2006/relationships/hyperlink" Target="https://www.sec.gov/Archives/edgar/data/1627281/000119312526116428/clls-ex2_3.htm" TargetMode="External"/><Relationship Id="rId12" Type="http://schemas.openxmlformats.org/officeDocument/2006/relationships/hyperlink" Target="https://www.sec.gov/Archives/edgar/data/1627281/000119312526116428/clls-ex1_1.htm" TargetMode="External"/><Relationship Id="rId13" Type="http://schemas.openxmlformats.org/officeDocument/2006/relationships/hyperlink" Target="https://www.sec.gov/Archives/edgar/data/1627281/000119312526116428/clls-ex1_1.htm" TargetMode="External"/><Relationship Id="rId14" Type="http://schemas.openxmlformats.org/officeDocument/2006/relationships/hyperlink" Target="https://www.sec.gov/Archives/edgar/data/1627281/000119312526116428/clls-ex1_1.htm" TargetMode="External"/><Relationship Id="rId15" Type="http://schemas.openxmlformats.org/officeDocument/2006/relationships/hyperlink" Target="https://www.sec.gov/Archives/edgar/data/1627281/000119312526116428/clls-ex1_1.htm" TargetMode="External"/><Relationship Id="rId16" Type="http://schemas.openxmlformats.org/officeDocument/2006/relationships/image" Target="media/image1.jpeg"/><Relationship Id="rId17" Type="http://schemas.openxmlformats.org/officeDocument/2006/relationships/image" Target="media/image2.gif"/><Relationship Id="rId18" Type="http://schemas.openxmlformats.org/officeDocument/2006/relationships/image" Target="media/image3.gif"/><Relationship Id="rId19" Type="http://schemas.openxmlformats.org/officeDocument/2006/relationships/image" Target="media/image3.gif"/><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19520</Words>
  <Characters>100659</Characters>
  <CharactersWithSpaces>120327</CharactersWithSpaces>
  <Paragraphs>1503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