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91126.htm"/>
      <w:bookmarkStart w:id="1" w:name="ksf6k_0911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Date of Report: September 11, 2026</w:t>
      </w:r>
    </w:p>
    <w:p>
      <w:pPr>
        <w:pStyle w:val="TextBody"/>
        <w:bidi w:val="0"/>
        <w:jc w:val="center"/>
        <w:rPr/>
      </w:pPr>
      <w:r>
        <w:rPr>
          <w:rStyle w:val="StrongEmphasis"/>
        </w:rPr>
        <w:t>Commission File Number: 001-36891</w:t>
      </w:r>
    </w:p>
    <w:p>
      <w:pPr>
        <w:pStyle w:val="TextBody"/>
        <w:bidi w:val="0"/>
        <w:jc w:val="center"/>
        <w:rPr/>
      </w:pPr>
      <w:r>
        <w:rPr>
          <w:rStyle w:val="StrongEmphasis"/>
          <w:sz w:val="24"/>
        </w:rPr>
        <w:t>Cellectis S.A.</w:t>
      </w:r>
      <w:r>
        <w:rPr/>
        <w:br/>
      </w:r>
      <w:r>
        <w:rPr>
          <w:rStyle w:val="StrongEmphasis"/>
        </w:rPr>
        <w:t>(Exact Name of registrant as specified in its charter)</w:t>
      </w:r>
    </w:p>
    <w:p>
      <w:pPr>
        <w:pStyle w:val="TextBody"/>
        <w:bidi w:val="0"/>
        <w:jc w:val="center"/>
        <w:rPr/>
      </w:pPr>
      <w:r>
        <w:rPr>
          <w:rStyle w:val="StrongEmphasis"/>
        </w:rPr>
        <w:t xml:space="preserve">8, rue de la Croix Jarry </w:t>
        <w:br/>
        <w:t xml:space="preserve">75013 Paris, France </w:t>
        <w:br/>
        <w:t xml:space="preserve">+33 1 81 69 16 00 </w:t>
      </w:r>
      <w:r>
        <w:rPr/>
        <w:br/>
      </w:r>
      <w:r>
        <w:rPr>
          <w:rStyle w:val="StrongEmphasis"/>
        </w:rP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jc w:val="center"/>
        <w:rPr/>
      </w:pPr>
      <w:r>
        <w:rPr>
          <w:rStyle w:val="StrongEmphasis"/>
          <w:sz w:val="20"/>
        </w:rPr>
        <w:t>EXHIBIT INDEX</w:t>
      </w:r>
    </w:p>
    <w:p>
      <w:pPr>
        <w:pStyle w:val="TextBody"/>
        <w:bidi w:val="0"/>
        <w:jc w:val="center"/>
        <w:rPr/>
      </w:pPr>
      <w:r>
        <w:rPr/>
        <w:t> </w:t>
      </w:r>
    </w:p>
    <w:tbl>
      <w:tblPr>
        <w:tblW w:w="4300" w:type="dxa"/>
        <w:jc w:val="left"/>
        <w:tblInd w:w="0" w:type="dxa"/>
        <w:tblLayout w:type="fixed"/>
        <w:tblCellMar>
          <w:top w:w="0" w:type="dxa"/>
          <w:left w:w="0" w:type="dxa"/>
          <w:bottom w:w="0" w:type="dxa"/>
          <w:right w:w="0" w:type="dxa"/>
        </w:tblCellMar>
      </w:tblPr>
      <w:tblGrid>
        <w:gridCol w:w="650"/>
        <w:gridCol w:w="300"/>
        <w:gridCol w:w="3350"/>
      </w:tblGrid>
      <w:tr>
        <w:trPr/>
        <w:tc>
          <w:tcPr>
            <w:tcW w:w="650" w:type="dxa"/>
            <w:tcBorders/>
            <w:vAlign w:val="bottom"/>
          </w:tcPr>
          <w:p>
            <w:pPr>
              <w:pStyle w:val="TableContents"/>
              <w:bidi w:val="0"/>
              <w:spacing w:before="0" w:after="283"/>
              <w:jc w:val="left"/>
              <w:rPr/>
            </w:pPr>
            <w:r>
              <w:rPr>
                <w:rStyle w:val="StrongEmphasis"/>
                <w:sz w:val="20"/>
                <w:u w:val="single"/>
              </w:rPr>
              <w:t>Exhibit</w:t>
            </w:r>
          </w:p>
        </w:tc>
        <w:tc>
          <w:tcPr>
            <w:tcW w:w="300" w:type="dxa"/>
            <w:tcBorders/>
            <w:vAlign w:val="center"/>
          </w:tcPr>
          <w:p>
            <w:pPr>
              <w:pStyle w:val="TableContents"/>
              <w:bidi w:val="0"/>
              <w:spacing w:before="0" w:after="283"/>
              <w:jc w:val="left"/>
              <w:rPr/>
            </w:pPr>
            <w:r>
              <w:rPr/>
              <w:t> </w:t>
            </w:r>
          </w:p>
        </w:tc>
        <w:tc>
          <w:tcPr>
            <w:tcW w:w="3350" w:type="dxa"/>
            <w:tcBorders/>
            <w:vAlign w:val="bottom"/>
          </w:tcPr>
          <w:p>
            <w:pPr>
              <w:pStyle w:val="TableContents"/>
              <w:bidi w:val="0"/>
              <w:spacing w:before="0" w:after="283"/>
              <w:jc w:val="left"/>
              <w:rPr/>
            </w:pPr>
            <w:r>
              <w:rPr>
                <w:rStyle w:val="StrongEmphasis"/>
                <w:sz w:val="20"/>
                <w:u w:val="single"/>
              </w:rPr>
              <w:t>Title</w:t>
            </w:r>
          </w:p>
        </w:tc>
      </w:tr>
      <w:tr>
        <w:trPr/>
        <w:tc>
          <w:tcPr>
            <w:tcW w:w="65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hyperlink w:anchor="exh_991.htm">
              <w:r>
                <w:rPr>
                  <w:rStyle w:val="InternetLink"/>
                  <w:sz w:val="20"/>
                </w:rPr>
                <w:t>99.1</w:t>
              </w:r>
            </w:hyperlink>
          </w:p>
        </w:tc>
        <w:tc>
          <w:tcPr>
            <w:tcW w:w="30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pPr>
            <w:hyperlink w:anchor="exh_991.htm">
              <w:r>
                <w:rPr>
                  <w:rStyle w:val="InternetLink"/>
                  <w:sz w:val="20"/>
                </w:rPr>
                <w:t>Press Release, dated September 11, 2026</w:t>
              </w:r>
            </w:hyperlink>
            <w:r>
              <w:rPr>
                <w:sz w:val="20"/>
              </w:rPr>
              <w:t xml:space="preserve"> </w:t>
            </w:r>
          </w:p>
        </w:tc>
      </w:tr>
    </w:tbl>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Cellectis S.A.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September 11,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André Choulika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André Choulika</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Chief Executive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Cellectis to Host Conference Call and Webcast on September 14 to Provide a Business Update</w:t>
      </w:r>
    </w:p>
    <w:p>
      <w:pPr>
        <w:pStyle w:val="TextBody"/>
        <w:bidi w:val="0"/>
        <w:jc w:val="both"/>
        <w:rPr/>
      </w:pPr>
      <w:r>
        <w:rPr/>
        <w:t>NEW YORK, Sept. 11, 2026 (GLOBE NEWSWIRE) -- Cellectis (the “Company”) (Euronext Growth: ALCLS - NASDAQ: CLLS), a clinical-stage biotechnology company using its pioneering gene editing platform to develop life-saving cell and gene therapies, today announced that it will host a conference call and webcast on Monday, September 14, 2026 to provide a business update.</w:t>
      </w:r>
    </w:p>
    <w:p>
      <w:pPr>
        <w:pStyle w:val="TextBody"/>
        <w:bidi w:val="0"/>
        <w:jc w:val="both"/>
        <w:rPr/>
      </w:pPr>
      <w:r>
        <w:rPr>
          <w:rStyle w:val="StrongEmphasis"/>
        </w:rPr>
        <w:t>Conference Call and Webcast Details:</w:t>
      </w:r>
    </w:p>
    <w:p>
      <w:pPr>
        <w:pStyle w:val="TextBody"/>
        <w:bidi w:val="0"/>
        <w:jc w:val="both"/>
        <w:rPr/>
      </w:pPr>
      <w:r>
        <w:rPr>
          <w:rStyle w:val="StrongEmphasis"/>
        </w:rPr>
        <w:t>September 14, 2026</w:t>
      </w:r>
    </w:p>
    <w:p>
      <w:pPr>
        <w:pStyle w:val="TextBody"/>
        <w:numPr>
          <w:ilvl w:val="0"/>
          <w:numId w:val="2"/>
        </w:numPr>
        <w:tabs>
          <w:tab w:val="clear" w:pos="1134"/>
          <w:tab w:val="left" w:pos="709" w:leader="none"/>
        </w:tabs>
        <w:bidi w:val="0"/>
        <w:ind w:left="709" w:hanging="283"/>
        <w:jc w:val="both"/>
        <w:rPr/>
      </w:pPr>
      <w:r>
        <w:rPr>
          <w:rStyle w:val="StrongEmphasis"/>
        </w:rPr>
        <w:t>English-language at 8:00 a.m. ET</w:t>
      </w:r>
      <w:r>
        <w:rPr/>
        <w:t>. /</w:t>
      </w:r>
      <w:r>
        <w:rPr>
          <w:rStyle w:val="StrongEmphasis"/>
        </w:rPr>
        <w:t xml:space="preserve"> 2:00 p.m. CET</w:t>
      </w:r>
    </w:p>
    <w:p>
      <w:pPr>
        <w:pStyle w:val="TextBody"/>
        <w:bidi w:val="0"/>
        <w:spacing w:before="0" w:after="283"/>
        <w:jc w:val="left"/>
        <w:rPr/>
      </w:pPr>
      <w:r>
        <w:rPr/>
        <w:t>Webcast link:</w:t>
        <w:br/>
        <w:t>https://viavid.webcasts.com/starthere.jsp?ei=1775356&amp;tp_key=7d1d05c480</w:t>
        <w:br/>
        <w:t>Phone number: +1 (800) 717 1738 or +1 (646) 307 1865</w:t>
        <w:br/>
        <w:t>France Toll Free: +33 (800) 945 120</w:t>
      </w:r>
    </w:p>
    <w:p>
      <w:pPr>
        <w:pStyle w:val="TextBody"/>
        <w:numPr>
          <w:ilvl w:val="0"/>
          <w:numId w:val="3"/>
        </w:numPr>
        <w:tabs>
          <w:tab w:val="clear" w:pos="1134"/>
          <w:tab w:val="left" w:pos="709" w:leader="none"/>
        </w:tabs>
        <w:bidi w:val="0"/>
        <w:ind w:left="709" w:hanging="283"/>
        <w:jc w:val="both"/>
        <w:rPr/>
      </w:pPr>
      <w:r>
        <w:rPr>
          <w:rStyle w:val="StrongEmphasis"/>
        </w:rPr>
        <w:t>French-language at 9:00 a.m. ET.</w:t>
      </w:r>
      <w:r>
        <w:rPr/>
        <w:t> /</w:t>
      </w:r>
      <w:r>
        <w:rPr>
          <w:rStyle w:val="StrongEmphasis"/>
        </w:rPr>
        <w:t xml:space="preserve"> 3:00 p.m. CET</w:t>
      </w:r>
    </w:p>
    <w:p>
      <w:pPr>
        <w:pStyle w:val="TextBody"/>
        <w:bidi w:val="0"/>
        <w:spacing w:before="0" w:after="283"/>
        <w:jc w:val="left"/>
        <w:rPr/>
      </w:pPr>
      <w:r>
        <w:rPr/>
        <w:t>Webcast link:</w:t>
        <w:br/>
        <w:t>https://viavid.webcasts.com/starthere.jsp?ei=1775361&amp;tp_key=2968b7b0ca</w:t>
        <w:br/>
        <w:t>Phone number: +1 (800) 717 1738 or +1 (646) 307 1865</w:t>
        <w:br/>
        <w:t>France Toll Free: +33 (800) 945 120</w:t>
      </w:r>
    </w:p>
    <w:p>
      <w:pPr>
        <w:pStyle w:val="TextBody"/>
        <w:bidi w:val="0"/>
        <w:jc w:val="both"/>
        <w:rPr/>
      </w:pPr>
      <w:r>
        <w:rPr/>
        <w:t xml:space="preserve">A replay will be available on the </w:t>
      </w:r>
      <w:r>
        <w:rPr>
          <w:u w:val="single"/>
        </w:rPr>
        <w:t>Company’s website</w:t>
      </w:r>
      <w:r>
        <w:rPr/>
        <w:t xml:space="preserve"> following the event.  </w:t>
      </w:r>
    </w:p>
    <w:p>
      <w:pPr>
        <w:pStyle w:val="TextBody"/>
        <w:bidi w:val="0"/>
        <w:jc w:val="both"/>
        <w:rPr/>
      </w:pPr>
      <w:r>
        <w:rPr>
          <w:rStyle w:val="StrongEmphasis"/>
        </w:rPr>
        <w:t>About Cellectis</w:t>
      </w:r>
      <w:r>
        <w:rPr/>
        <w:t>     </w:t>
        <w:br/>
        <w:t xml:space="preserve">Cellectis is a clinical-stage biotechnology company using its pioneering gene-editing platform to develop life-saving cell and gene therapies. The company utilizes an allogeneic approach for CAR T immunotherapies in oncology, pioneering the concept of off-the-shelf and ready-to-use gene-edited CAR T-cells to treat cancer patients, and a platform to develop gene therapies in other therapeutic indications. With its in-house manufacturing capabilities, Cellectis is one of the few end-to-end gene editing companies that controls the cell and gene therapy value chain from start to finish. Cellectis’ headquarters are in Paris, France, with locations in New York and Raleigh, NC. Cellectis is listed on the Nasdaq Global Market (ticker: CLLS) and on Euronext Growth (ticker: ALCLS). To find out more, visit </w:t>
      </w:r>
      <w:r>
        <w:rPr>
          <w:u w:val="single"/>
        </w:rPr>
        <w:t>www.cellectis.com</w:t>
      </w:r>
      <w:r>
        <w:rPr/>
        <w:t xml:space="preserve"> and follow Cellectis on LinkedIn and X.  </w:t>
      </w:r>
    </w:p>
    <w:p>
      <w:pPr>
        <w:pStyle w:val="TextBody"/>
        <w:bidi w:val="0"/>
        <w:jc w:val="both"/>
        <w:rPr/>
      </w:pPr>
      <w:r>
        <w:rPr>
          <w:rStyle w:val="StrongEmphasis"/>
        </w:rPr>
        <w:t>For further information on Cellectis, please contact:</w:t>
      </w:r>
      <w:r>
        <w:rPr/>
        <w:t>         </w:t>
        <w:br/>
        <w:t>     </w:t>
        <w:br/>
      </w:r>
      <w:r>
        <w:rPr>
          <w:rStyle w:val="StrongEmphasis"/>
        </w:rPr>
        <w:t>Media contacts:</w:t>
      </w:r>
      <w:r>
        <w:rPr/>
        <w:t>              </w:t>
        <w:br/>
        <w:t>Pascalyne Wilson, Director, Communications, + 33 (0)7 76 99 14 33, </w:t>
        <w:br/>
        <w:t>Patricia Sosa Navarro, Chief of Staff to the CEO, +33 (0)7 76 77 46 93, media@cellectis.com</w:t>
        <w:br/>
      </w:r>
      <w:r>
        <w:rPr>
          <w:rStyle w:val="StrongEmphasis"/>
        </w:rPr>
        <w:t>Investor Relations contact:</w:t>
      </w:r>
      <w:r>
        <w:rPr/>
        <w:t>           </w:t>
        <w:br/>
        <w:t>Arthur Stril, Chief Financial Officer &amp; Chief Business Officer, investors@cellectis.com</w:t>
      </w:r>
    </w:p>
    <w:p>
      <w:pPr>
        <w:pStyle w:val="TextBody"/>
        <w:bidi w:val="0"/>
        <w:spacing w:before="0" w:after="283"/>
        <w:jc w:val="left"/>
        <w:rPr/>
      </w:pPr>
      <w:bookmarkStart w:id="4" w:name="gnw_attachments_section-header"/>
      <w:bookmarkEnd w:id="4"/>
      <w:r>
        <w:rPr>
          <w:rStyle w:val="StrongEmphasis"/>
        </w:rPr>
        <w:t>Attachment</w:t>
      </w:r>
    </w:p>
    <w:p>
      <w:pPr>
        <w:pStyle w:val="TextBody"/>
        <w:numPr>
          <w:ilvl w:val="0"/>
          <w:numId w:val="4"/>
        </w:numPr>
        <w:tabs>
          <w:tab w:val="clear" w:pos="1134"/>
          <w:tab w:val="left" w:pos="709" w:leader="none"/>
        </w:tabs>
        <w:bidi w:val="0"/>
        <w:spacing w:before="0" w:after="283"/>
        <w:ind w:left="709" w:hanging="283"/>
        <w:jc w:val="left"/>
        <w:rPr/>
      </w:pPr>
      <w:bookmarkStart w:id="5" w:name="gnw_attachments_section-items"/>
      <w:bookmarkEnd w:id="5"/>
      <w:r>
        <w:rPr/>
        <w:t>PRESS RELEASE_conference call_ENGLISH (https://ml.globenewswire.com/Resource/Download/0b5bb3dc-fd34-48a8-ab2a-a13f19bdaef7)</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494</Words>
  <Characters>2881</Characters>
  <CharactersWithSpaces>3439</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