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Pursuant to Rule 13a-16 or 15d-16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 xml:space="preserve">Date of Report: </w:t>
      </w:r>
      <w:r>
        <w:rPr>
          <w:rFonts w:ascii="Arial" w:cs="Arial" w:eastAsia="Arial" w:hAnsi="Arial"/>
          <w:sz w:val="22"/>
          <w:szCs w:val="22"/>
          <w:color w:val="auto"/>
        </w:rPr>
        <w:t>July 8, 2019</w:t>
      </w:r>
    </w:p>
    <w:p>
      <w:pPr>
        <w:spacing w:after="0" w:line="1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Commission File Number: 001-36891</w:t>
      </w: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Cellectis S.A.</w:t>
      </w:r>
    </w:p>
    <w:p>
      <w:pPr>
        <w:spacing w:after="0" w:line="33"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9"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8, rue de la Croix Jarry</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75013 Paris, France</w:t>
      </w:r>
    </w:p>
    <w:p>
      <w:pPr>
        <w:jc w:val="center"/>
        <w:ind w:right="-439"/>
        <w:spacing w:after="0" w:line="230" w:lineRule="auto"/>
        <w:rPr>
          <w:sz w:val="20"/>
          <w:szCs w:val="20"/>
          <w:color w:val="auto"/>
        </w:rPr>
      </w:pPr>
      <w:r>
        <w:rPr>
          <w:rFonts w:ascii="Arial" w:cs="Arial" w:eastAsia="Arial" w:hAnsi="Arial"/>
          <w:sz w:val="22"/>
          <w:szCs w:val="22"/>
          <w:b w:val="1"/>
          <w:bCs w:val="1"/>
          <w:color w:val="auto"/>
        </w:rPr>
        <w:t>+33 1 81 69 16 00</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u w:val="single" w:color="auto"/>
          <w:color w:val="auto"/>
        </w:rPr>
        <w:t>(Address of principal executive office)</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33"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89"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864" w:right="679" w:bottom="1440" w:gutter="0" w:footer="0" w:header="0"/>
        </w:sectPr>
      </w:pPr>
    </w:p>
    <w:bookmarkStart w:id="1" w:name="page2"/>
    <w:bookmarkEnd w:id="1"/>
    <w:p>
      <w:pPr>
        <w:jc w:val="right"/>
        <w:ind w:right="365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4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Title</w:t>
      </w:r>
    </w:p>
    <w:p>
      <w:pPr>
        <w:spacing w:after="0" w:line="27" w:lineRule="exact"/>
        <w:rPr>
          <w:sz w:val="20"/>
          <w:szCs w:val="20"/>
          <w:color w:val="auto"/>
        </w:rPr>
      </w:pPr>
    </w:p>
    <w:p>
      <w:pPr>
        <w:ind w:left="180"/>
        <w:spacing w:after="0"/>
        <w:tabs>
          <w:tab w:leader="none" w:pos="1140" w:val="left"/>
        </w:tabs>
        <w:rPr>
          <w:rFonts w:ascii="Arial" w:cs="Arial" w:eastAsia="Arial" w:hAnsi="Arial"/>
          <w:sz w:val="15"/>
          <w:szCs w:val="15"/>
          <w:u w:val="single" w:color="auto"/>
          <w:color w:val="0000EE"/>
        </w:rPr>
      </w:pPr>
      <w:hyperlink r:id="rId1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r:id="rId13">
        <w:r>
          <w:rPr>
            <w:rFonts w:ascii="Arial" w:cs="Arial" w:eastAsia="Arial" w:hAnsi="Arial"/>
            <w:sz w:val="15"/>
            <w:szCs w:val="15"/>
            <w:u w:val="single" w:color="auto"/>
            <w:color w:val="0000EE"/>
          </w:rPr>
          <w:t>Press release, dated July 8, 2019</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CELLECTIS S.A.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 w:leader="none" w:pos="6160" w:val="left"/>
          <w:tab w:leader="none" w:pos="6560" w:val="left"/>
        </w:tabs>
        <w:rPr>
          <w:sz w:val="20"/>
          <w:szCs w:val="20"/>
          <w:color w:val="auto"/>
        </w:rPr>
      </w:pPr>
      <w:r>
        <w:rPr>
          <w:rFonts w:ascii="Arial" w:cs="Arial" w:eastAsia="Arial" w:hAnsi="Arial"/>
          <w:sz w:val="18"/>
          <w:szCs w:val="18"/>
          <w:color w:val="auto"/>
        </w:rPr>
        <w:t>July 8, 2019</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André Choulika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1697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André Choulika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55"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Cellectis Publishes New CAR Design to Control CAR T-Cells in Non-Lethal Way</w:t>
      </w:r>
    </w:p>
    <w:p>
      <w:pPr>
        <w:spacing w:after="0" w:line="227"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b w:val="1"/>
          <w:bCs w:val="1"/>
          <w:i w:val="1"/>
          <w:iCs w:val="1"/>
          <w:color w:val="auto"/>
        </w:rPr>
        <w:t>SWIFF-CAR, a Next Generation CAR with an Embedded On/Off-Switch Increases Safety for Patients and Extends Manufacturing Possibilities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NEW YORK--(BUSINESS WIRE)--July 8, 2019--Regulatory News: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Cellectis (Paris:ALCLS) (NASDAQ:CLLS) (Euronext Growth: ALCLS - Nasdaq: CLLS), a clinical-stage biopharmaceutical company focused on developing immunotherapies based on gene-edited allogeneic CAR T-cells (UCART), announced today the publication of a study in </w:t>
      </w:r>
      <w:r>
        <w:rPr>
          <w:rFonts w:ascii="Arial" w:cs="Arial" w:eastAsia="Arial" w:hAnsi="Arial"/>
          <w:sz w:val="19"/>
          <w:szCs w:val="19"/>
          <w:i w:val="1"/>
          <w:iCs w:val="1"/>
          <w:color w:val="auto"/>
        </w:rPr>
        <w:t>BMC Biotechnology</w:t>
      </w:r>
      <w:r>
        <w:rPr>
          <w:rFonts w:ascii="Arial" w:cs="Arial" w:eastAsia="Arial" w:hAnsi="Arial"/>
          <w:sz w:val="19"/>
          <w:szCs w:val="19"/>
          <w:color w:val="auto"/>
        </w:rPr>
        <w:t>, a Springer Nature journal, describing and evaluating the development of the SWIFF-CAR, a CAR construct with an embedded on/off-switch, which enables tight control of the CAR surface presentation and subsequent cytolytic functions using a small molecule drug. The reversible control of these engineered T-cells represents a promising approach to further mitigate the potential toxicities that are associated with CAR T-cell administration in clinical settings and to improve the process of CAR T-cell production for specific target antigens.</w:t>
      </w:r>
    </w:p>
    <w:p>
      <w:pPr>
        <w:spacing w:after="0" w:line="153"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“Following Cellectis’ previously developed CubiCAR system, an all-in-one CAR architecture with an embedded multi-functional tag for purification, detection and elimination of CAR T-cells, we knew that we needed an additional ‘on/off switch’ to direct T-cells to either be active or inert, without necessarily killing them,” said Dr. Alexandre Juillerat, Ph.D., Project Leader and U.S. Laboratory Head, Cellectis. “The SWIFF-CAR system does precisely that, representing a major breakthrough in our ongoing efforts to develop innovative applications to treat a range of diseases, including cancer and autoimmune diseases.”</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“While suicide gene systems have proven to be an effective way to eliminate transduced CAR T-cells, they also potentially terminate CAR T-cell treatment altogether,” added Dr. Philippe Duchateau, Ph.D., Chief Scientific Officer, Cellectis. “The capability to manipulate CAR surface presentation improves the safety of CAR-T therapies and enhances our ability to circumvent hurdles associated with manufacturing. The SWIFF-CAR system addresses both of these factors and is an important next step for Cellectis in treating deadly illnesses that affect patients globally.”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Alexandre Juillerat, Ph.D. Project Leader and Senior Scientist, Cellectis</w:t>
      </w:r>
    </w:p>
    <w:p>
      <w:pPr>
        <w:spacing w:after="0" w:line="212" w:lineRule="exact"/>
        <w:rPr>
          <w:sz w:val="20"/>
          <w:szCs w:val="20"/>
          <w:color w:val="auto"/>
        </w:rPr>
      </w:pPr>
    </w:p>
    <w:p>
      <w:pPr>
        <w:ind w:right="180"/>
        <w:spacing w:after="0" w:line="233" w:lineRule="auto"/>
        <w:rPr>
          <w:sz w:val="20"/>
          <w:szCs w:val="20"/>
          <w:color w:val="auto"/>
        </w:rPr>
      </w:pPr>
      <w:r>
        <w:rPr>
          <w:rFonts w:ascii="Arial" w:cs="Arial" w:eastAsia="Arial" w:hAnsi="Arial"/>
          <w:sz w:val="20"/>
          <w:szCs w:val="20"/>
          <w:color w:val="auto"/>
        </w:rPr>
        <w:t>Dr. Alexandre Juillerat, Ph.D., graduated in Chemistry from the University of Lausanne, Switzerland. After receiving his Ph.D. in 2006 in protein engineering from the École Polytechnique Fédérale de Lausanne (EPFL, Switzerland), he moved to the laboratory of Structural Immunology at the Institut Pasteur in Paris, France. In 2010, he joined the R&amp;D department of Cellectis in Paris, France, working on the development and implementation of sequence specific designer nucleases including the transcription activator-like effector nucleases (TALEN</w:t>
      </w:r>
      <w:r>
        <w:rPr>
          <w:rFonts w:ascii="Arial" w:cs="Arial" w:eastAsia="Arial" w:hAnsi="Arial"/>
          <w:sz w:val="33"/>
          <w:szCs w:val="33"/>
          <w:color w:val="auto"/>
          <w:vertAlign w:val="superscript"/>
        </w:rPr>
        <w:t>®</w:t>
      </w:r>
      <w:r>
        <w:rPr>
          <w:rFonts w:ascii="Arial" w:cs="Arial" w:eastAsia="Arial" w:hAnsi="Arial"/>
          <w:sz w:val="20"/>
          <w:szCs w:val="20"/>
          <w:color w:val="auto"/>
        </w:rPr>
        <w:t>). He then joined the Cellectis facility based in New York, NY, USA, leading projects associated with the development of the T-cell chimeric antigen receptor (CAR)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Modulation of Chimeric Antigen Receptor surface expression by a small molecule switch</w:t>
      </w:r>
    </w:p>
    <w:p>
      <w:pPr>
        <w:spacing w:after="0" w:line="206" w:lineRule="exact"/>
        <w:rPr>
          <w:sz w:val="20"/>
          <w:szCs w:val="20"/>
          <w:color w:val="auto"/>
        </w:rPr>
      </w:pPr>
    </w:p>
    <w:p>
      <w:pPr>
        <w:ind w:right="680"/>
        <w:spacing w:after="0" w:line="207" w:lineRule="auto"/>
        <w:rPr>
          <w:sz w:val="20"/>
          <w:szCs w:val="20"/>
          <w:color w:val="auto"/>
        </w:rPr>
      </w:pPr>
      <w:r>
        <w:rPr>
          <w:rFonts w:ascii="Arial" w:cs="Arial" w:eastAsia="Arial" w:hAnsi="Arial"/>
          <w:sz w:val="22"/>
          <w:szCs w:val="22"/>
          <w:color w:val="auto"/>
        </w:rPr>
        <w:t>Alexandre Juillerat</w:t>
      </w:r>
      <w:r>
        <w:rPr>
          <w:rFonts w:ascii="Arial" w:cs="Arial" w:eastAsia="Arial" w:hAnsi="Arial"/>
          <w:sz w:val="36"/>
          <w:szCs w:val="36"/>
          <w:color w:val="auto"/>
          <w:vertAlign w:val="superscript"/>
        </w:rPr>
        <w:t>1</w:t>
      </w:r>
      <w:r>
        <w:rPr>
          <w:rFonts w:ascii="Arial" w:cs="Arial" w:eastAsia="Arial" w:hAnsi="Arial"/>
          <w:sz w:val="22"/>
          <w:szCs w:val="22"/>
          <w:color w:val="auto"/>
        </w:rPr>
        <w:t>, Diane Tkach</w:t>
      </w:r>
      <w:r>
        <w:rPr>
          <w:rFonts w:ascii="Arial" w:cs="Arial" w:eastAsia="Arial" w:hAnsi="Arial"/>
          <w:sz w:val="36"/>
          <w:szCs w:val="36"/>
          <w:color w:val="auto"/>
          <w:vertAlign w:val="superscript"/>
        </w:rPr>
        <w:t>1</w:t>
      </w:r>
      <w:r>
        <w:rPr>
          <w:rFonts w:ascii="Arial" w:cs="Arial" w:eastAsia="Arial" w:hAnsi="Arial"/>
          <w:sz w:val="22"/>
          <w:szCs w:val="22"/>
          <w:color w:val="auto"/>
        </w:rPr>
        <w:t>, Brian W. Busser</w:t>
      </w:r>
      <w:r>
        <w:rPr>
          <w:rFonts w:ascii="Arial" w:cs="Arial" w:eastAsia="Arial" w:hAnsi="Arial"/>
          <w:sz w:val="36"/>
          <w:szCs w:val="36"/>
          <w:color w:val="auto"/>
          <w:vertAlign w:val="superscript"/>
        </w:rPr>
        <w:t>1</w:t>
      </w:r>
      <w:r>
        <w:rPr>
          <w:rFonts w:ascii="Arial" w:cs="Arial" w:eastAsia="Arial" w:hAnsi="Arial"/>
          <w:sz w:val="22"/>
          <w:szCs w:val="22"/>
          <w:color w:val="auto"/>
        </w:rPr>
        <w:t>, Sonal Temburni</w:t>
      </w:r>
      <w:r>
        <w:rPr>
          <w:rFonts w:ascii="Arial" w:cs="Arial" w:eastAsia="Arial" w:hAnsi="Arial"/>
          <w:sz w:val="36"/>
          <w:szCs w:val="36"/>
          <w:color w:val="auto"/>
          <w:vertAlign w:val="superscript"/>
        </w:rPr>
        <w:t>1</w:t>
      </w:r>
      <w:r>
        <w:rPr>
          <w:rFonts w:ascii="Arial" w:cs="Arial" w:eastAsia="Arial" w:hAnsi="Arial"/>
          <w:sz w:val="22"/>
          <w:szCs w:val="22"/>
          <w:color w:val="auto"/>
        </w:rPr>
        <w:t>, Julien Valton</w:t>
      </w:r>
      <w:r>
        <w:rPr>
          <w:rFonts w:ascii="Arial" w:cs="Arial" w:eastAsia="Arial" w:hAnsi="Arial"/>
          <w:sz w:val="36"/>
          <w:szCs w:val="36"/>
          <w:color w:val="auto"/>
          <w:vertAlign w:val="superscript"/>
        </w:rPr>
        <w:t>1</w:t>
      </w:r>
      <w:r>
        <w:rPr>
          <w:rFonts w:ascii="Arial" w:cs="Arial" w:eastAsia="Arial" w:hAnsi="Arial"/>
          <w:sz w:val="22"/>
          <w:szCs w:val="22"/>
          <w:color w:val="auto"/>
        </w:rPr>
        <w:t>, Aymeric Duclert</w:t>
      </w:r>
      <w:r>
        <w:rPr>
          <w:rFonts w:ascii="Arial" w:cs="Arial" w:eastAsia="Arial" w:hAnsi="Arial"/>
          <w:sz w:val="36"/>
          <w:szCs w:val="36"/>
          <w:color w:val="auto"/>
          <w:vertAlign w:val="superscript"/>
        </w:rPr>
        <w:t>2</w:t>
      </w:r>
      <w:r>
        <w:rPr>
          <w:rFonts w:ascii="Arial" w:cs="Arial" w:eastAsia="Arial" w:hAnsi="Arial"/>
          <w:sz w:val="22"/>
          <w:szCs w:val="22"/>
          <w:color w:val="auto"/>
        </w:rPr>
        <w:t>, Laurent Poirot</w:t>
      </w:r>
      <w:r>
        <w:rPr>
          <w:rFonts w:ascii="Arial" w:cs="Arial" w:eastAsia="Arial" w:hAnsi="Arial"/>
          <w:sz w:val="36"/>
          <w:szCs w:val="36"/>
          <w:color w:val="auto"/>
          <w:vertAlign w:val="superscript"/>
        </w:rPr>
        <w:t>2</w:t>
      </w:r>
      <w:r>
        <w:rPr>
          <w:rFonts w:ascii="Arial" w:cs="Arial" w:eastAsia="Arial" w:hAnsi="Arial"/>
          <w:sz w:val="22"/>
          <w:szCs w:val="22"/>
          <w:color w:val="auto"/>
        </w:rPr>
        <w:t>, Stéphane Depil</w:t>
      </w:r>
      <w:r>
        <w:rPr>
          <w:rFonts w:ascii="Arial" w:cs="Arial" w:eastAsia="Arial" w:hAnsi="Arial"/>
          <w:sz w:val="36"/>
          <w:szCs w:val="36"/>
          <w:color w:val="auto"/>
          <w:vertAlign w:val="superscript"/>
        </w:rPr>
        <w:t>2</w:t>
      </w:r>
      <w:r>
        <w:rPr>
          <w:rFonts w:ascii="Arial" w:cs="Arial" w:eastAsia="Arial" w:hAnsi="Arial"/>
          <w:sz w:val="22"/>
          <w:szCs w:val="22"/>
          <w:color w:val="auto"/>
        </w:rPr>
        <w:t xml:space="preserve"> and Philippe Duchateau</w:t>
      </w:r>
      <w:r>
        <w:rPr>
          <w:rFonts w:ascii="Arial" w:cs="Arial" w:eastAsia="Arial" w:hAnsi="Arial"/>
          <w:sz w:val="36"/>
          <w:szCs w:val="36"/>
          <w:color w:val="auto"/>
          <w:vertAlign w:val="superscript"/>
        </w:rPr>
        <w:t>2</w:t>
      </w:r>
    </w:p>
    <w:p>
      <w:pPr>
        <w:spacing w:after="0" w:line="18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Cellectis Inc, 430E 29th street, NYC, NY 10016, USA</w:t>
      </w:r>
    </w:p>
    <w:p>
      <w:pPr>
        <w:spacing w:after="0"/>
        <w:rPr>
          <w:sz w:val="20"/>
          <w:szCs w:val="20"/>
          <w:color w:val="auto"/>
        </w:rPr>
      </w:pPr>
      <w:r>
        <w:rPr>
          <w:rFonts w:ascii="Arial" w:cs="Arial" w:eastAsia="Arial" w:hAnsi="Arial"/>
          <w:sz w:val="36"/>
          <w:szCs w:val="36"/>
          <w:color w:val="auto"/>
          <w:vertAlign w:val="superscript"/>
        </w:rPr>
        <w:t>2</w:t>
      </w:r>
      <w:r>
        <w:rPr>
          <w:rFonts w:ascii="Arial" w:cs="Arial" w:eastAsia="Arial" w:hAnsi="Arial"/>
          <w:sz w:val="22"/>
          <w:szCs w:val="22"/>
          <w:color w:val="auto"/>
        </w:rPr>
        <w:t>Cellectis, 8 rue de la croix Jarry, 75013 Paris, France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Cellectis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Cellectis is a clinical-stage biopharmaceutical company focused on developing a new generation of cancer immunotherapies based on gene-edited T-cells (UCART). By capitalizing on its 19 years of expertise in gene editing – built on its flagship TALEN® technology and pioneering electroporation system PulseAgile – Cellectis uses the power of the immune system to target and eradicate cancer cells.</w:t>
      </w:r>
    </w:p>
    <w:p>
      <w:pPr>
        <w:spacing w:after="0" w:line="185"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Using its life-science-focused, pioneering genome engineering technologies, Cellectis’ goal is to create innovative products in multiple fields and with various target markets.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Cellectis is listed on the Nasdaq market (ticker: CLLS) and on Euronext Growth (ticker: ALCLS). To find out more about us, visit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our website: www.cellectis.com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Talking about gene editing? We do it. TALEN® is a registered trademark owned by Cellectis.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This press release contains “forward-looking” statements that are based on our management’s current expectations and assumptions and on information currently available to management.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Further information on the risk factors that may affect company business and financial performance is included in Cellectis’ Annual Report on Form 20-F and the financial report (including the management report) for the year ended December 31, 2018 and subsequent filings Cellectis makes with the Securities Exchange Commission from time to time.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further information, please 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Jennifer Moore, VP of Communications, 917-580-1088, media@cellectis.com</w:t>
      </w:r>
    </w:p>
    <w:p>
      <w:pPr>
        <w:spacing w:after="0"/>
        <w:rPr>
          <w:sz w:val="20"/>
          <w:szCs w:val="20"/>
          <w:color w:val="auto"/>
        </w:rPr>
      </w:pPr>
      <w:r>
        <w:rPr>
          <w:rFonts w:ascii="Arial" w:cs="Arial" w:eastAsia="Arial" w:hAnsi="Arial"/>
          <w:sz w:val="22"/>
          <w:szCs w:val="22"/>
          <w:color w:val="auto"/>
        </w:rPr>
        <w:t>Caitlin Kasunich, KCSA Strategic Communications, 212-896-1241, ckasunich@kcsa.com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 contact: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Simon Harnest, VP of Corporate Strategy and Finance, 646-385-9008, simon.harnest@cellectis.com</w:t>
      </w:r>
    </w:p>
    <w:sectPr>
      <w:pgSz w:w="11900" w:h="16838" w:orient="portrait"/>
      <w:cols w:equalWidth="0" w:num="1">
        <w:col w:w="11400"/>
      </w:cols>
      <w:pgMar w:left="240" w:top="32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file:///data/convert/a52010068_ex991.htm#Exhibit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2019-12-01T03:23:32Z</dcterms:created>
  <dcterms:modified xsi:type="dcterms:W3CDTF">2019-12-01T03:23:32Z</dcterms:modified>
</cp:coreProperties>
</file>